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6"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r>
        <w:t xml:space="preserve">                                                                       </w:t>
      </w: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（GB/T 19022-2003/ISO 10012:2003）</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asciiTheme="majorEastAsia" w:hAnsiTheme="majorEastAsia" w:cstheme="majorEastAsia"/>
          <w:color w:val="auto"/>
          <w:sz w:val="30"/>
          <w:szCs w:val="30"/>
          <w:u w:val="single"/>
          <w:lang w:val="en-US"/>
        </w:rPr>
      </w:pPr>
      <w:r>
        <w:rPr>
          <w:rFonts w:hint="eastAsia" w:ascii="宋体" w:hAnsi="宋体"/>
          <w:sz w:val="32"/>
        </w:rPr>
        <w:t>认 证 企 业</w:t>
      </w:r>
      <w:r>
        <w:rPr>
          <w:rFonts w:hint="eastAsia" w:ascii="MS PGothic" w:hAnsi="MS PGothic"/>
          <w:sz w:val="32"/>
        </w:rPr>
        <w:t>：</w:t>
      </w:r>
      <w:r>
        <w:rPr>
          <w:rFonts w:hint="eastAsia" w:ascii="MS PGothic" w:hAnsi="MS PGothic"/>
          <w:sz w:val="32"/>
          <w:szCs w:val="32"/>
          <w:u w:val="single"/>
          <w:lang w:val="en-US" w:eastAsia="zh-CN"/>
        </w:rPr>
        <w:t xml:space="preserve"> </w:t>
      </w:r>
      <w:r>
        <w:rPr>
          <w:rFonts w:hint="eastAsia" w:ascii="宋体" w:hAnsi="宋体"/>
          <w:sz w:val="32"/>
          <w:szCs w:val="32"/>
          <w:u w:val="single"/>
        </w:rPr>
        <w:t>沙钢集团安阳永兴</w:t>
      </w:r>
      <w:r>
        <w:rPr>
          <w:rFonts w:hint="eastAsia" w:ascii="宋体" w:hAnsi="宋体"/>
          <w:sz w:val="32"/>
          <w:szCs w:val="32"/>
          <w:u w:val="single"/>
          <w:lang w:val="en-US" w:eastAsia="zh-CN"/>
        </w:rPr>
        <w:t>特</w:t>
      </w:r>
      <w:r>
        <w:rPr>
          <w:rFonts w:hint="eastAsia" w:ascii="宋体" w:hAnsi="宋体"/>
          <w:sz w:val="32"/>
          <w:szCs w:val="32"/>
          <w:u w:val="single"/>
        </w:rPr>
        <w:t>钢有限公司</w:t>
      </w:r>
      <w:r>
        <w:rPr>
          <w:rFonts w:hint="eastAsia" w:ascii="宋体" w:hAnsi="宋体"/>
          <w:color w:val="auto"/>
          <w:sz w:val="32"/>
          <w:szCs w:val="32"/>
          <w:u w:val="single"/>
          <w:lang w:val="en-US" w:eastAsia="zh-CN"/>
        </w:rPr>
        <w:t xml:space="preserve"> </w:t>
      </w:r>
      <w:r>
        <w:rPr>
          <w:rFonts w:hint="eastAsia" w:ascii="宋体" w:hAnsi="宋体"/>
          <w:color w:val="auto"/>
          <w:sz w:val="30"/>
          <w:szCs w:val="30"/>
          <w:u w:val="single"/>
          <w:lang w:val="en-US" w:eastAsia="zh-CN"/>
        </w:rPr>
        <w:t xml:space="preserve">   </w:t>
      </w:r>
    </w:p>
    <w:p>
      <w:pPr>
        <w:spacing w:line="360" w:lineRule="auto"/>
        <w:jc w:val="left"/>
        <w:rPr>
          <w:rFonts w:hint="default" w:ascii="宋体" w:hAnsi="宋体" w:eastAsia="宋体" w:cs="宋体"/>
          <w:spacing w:val="32"/>
          <w:sz w:val="32"/>
          <w:szCs w:val="32"/>
          <w:u w:val="single"/>
          <w:lang w:val="en-US" w:eastAsia="zh-CN"/>
        </w:rPr>
      </w:pPr>
      <w:r>
        <w:rPr>
          <w:rFonts w:hint="eastAsia" w:asciiTheme="majorEastAsia" w:hAnsiTheme="majorEastAsia" w:eastAsiaTheme="majorEastAsia" w:cstheme="majorEastAsia"/>
          <w:spacing w:val="80"/>
          <w:sz w:val="32"/>
          <w:szCs w:val="32"/>
        </w:rPr>
        <w:t>编   号</w:t>
      </w:r>
      <w:r>
        <w:rPr>
          <w:rFonts w:hint="eastAsia" w:asciiTheme="majorEastAsia" w:hAnsiTheme="majorEastAsia" w:eastAsiaTheme="majorEastAsia" w:cstheme="majorEastAsia"/>
          <w:spacing w:val="80"/>
          <w:sz w:val="32"/>
          <w:szCs w:val="32"/>
          <w:lang w:val="en-US" w:eastAsia="zh-CN"/>
        </w:rPr>
        <w:t xml:space="preserve"> </w:t>
      </w:r>
      <w:r>
        <w:rPr>
          <w:rFonts w:hint="eastAsia" w:ascii="宋体" w:hAnsi="宋体" w:eastAsia="宋体" w:cs="宋体"/>
          <w:sz w:val="32"/>
          <w:szCs w:val="32"/>
          <w:u w:val="single"/>
        </w:rPr>
        <w:t xml:space="preserve">  0013-2018-20</w:t>
      </w:r>
      <w:r>
        <w:rPr>
          <w:rFonts w:hint="eastAsia" w:ascii="宋体" w:hAnsi="宋体" w:eastAsia="宋体" w:cs="宋体"/>
          <w:sz w:val="32"/>
          <w:szCs w:val="32"/>
          <w:u w:val="single"/>
          <w:lang w:val="en-US" w:eastAsia="zh-CN"/>
        </w:rPr>
        <w:t xml:space="preserve">20                </w:t>
      </w:r>
    </w:p>
    <w:p>
      <w:pPr>
        <w:spacing w:line="360" w:lineRule="auto"/>
        <w:jc w:val="left"/>
        <w:rPr>
          <w:rFonts w:hint="eastAsia" w:ascii="宋体" w:hAnsi="宋体" w:eastAsiaTheme="minorEastAsia"/>
          <w:sz w:val="32"/>
          <w:lang w:val="en-US" w:eastAsia="zh-CN"/>
        </w:rPr>
      </w:pPr>
      <w:r>
        <w:rPr>
          <w:rFonts w:hint="eastAsia" w:ascii="宋体" w:hAnsi="宋体"/>
          <w:spacing w:val="80"/>
          <w:sz w:val="32"/>
        </w:rPr>
        <w:t>审核类型</w:t>
      </w:r>
      <w:r>
        <w:rPr>
          <w:rFonts w:hint="eastAsia" w:ascii="MS PGothic" w:hAnsi="MS PGothic"/>
          <w:sz w:val="32"/>
        </w:rPr>
        <w:t>：</w:t>
      </w:r>
      <w:r>
        <w:rPr>
          <w:rFonts w:hint="eastAsia" w:ascii="MS PGothic" w:hAnsi="MS PGothic"/>
          <w:sz w:val="32"/>
          <w:u w:val="single"/>
        </w:rPr>
        <w:t xml:space="preserve">  </w:t>
      </w:r>
      <w:r>
        <w:rPr>
          <w:rFonts w:hint="eastAsia" w:ascii="MS PGothic" w:hAnsi="MS PGothic"/>
          <w:sz w:val="32"/>
          <w:u w:val="single"/>
          <w:lang w:val="en-US" w:eastAsia="zh-CN"/>
        </w:rPr>
        <w:t xml:space="preserve"> </w:t>
      </w:r>
      <w:r>
        <w:rPr>
          <w:rFonts w:hint="eastAsia" w:ascii="宋体" w:hAnsi="宋体"/>
          <w:sz w:val="32"/>
          <w:u w:val="single"/>
        </w:rPr>
        <w:t>年度监督审核</w:t>
      </w:r>
      <w:r>
        <w:rPr>
          <w:rFonts w:hint="eastAsia" w:ascii="MS PGothic" w:hAnsi="MS PGothic"/>
          <w:sz w:val="32"/>
          <w:u w:val="single"/>
        </w:rPr>
        <w:t xml:space="preserve">             </w:t>
      </w:r>
      <w:r>
        <w:rPr>
          <w:rFonts w:hint="eastAsia" w:ascii="MS PGothic" w:hAnsi="MS PGothic"/>
          <w:sz w:val="32"/>
          <w:u w:val="single"/>
          <w:lang w:val="en-US" w:eastAsia="zh-CN"/>
        </w:rPr>
        <w:t xml:space="preserve">    </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color w:val="auto"/>
          <w:kern w:val="0"/>
          <w:sz w:val="24"/>
          <w:szCs w:val="24"/>
        </w:rPr>
      </w:pPr>
    </w:p>
    <w:p>
      <w:pPr>
        <w:wordWrap w:val="0"/>
        <w:jc w:val="right"/>
        <w:rPr>
          <w:rFonts w:hint="default" w:eastAsiaTheme="minorEastAsia"/>
          <w:b/>
          <w:sz w:val="30"/>
          <w:lang w:val="en-US" w:eastAsia="zh-CN"/>
        </w:rPr>
      </w:pPr>
      <w:r>
        <w:rPr>
          <w:rFonts w:ascii="Times New Roman" w:hAnsi="Times New Roman" w:eastAsia="宋体" w:cs="Times New Roman"/>
          <w:bCs/>
          <w:color w:val="auto"/>
          <w:kern w:val="0"/>
          <w:sz w:val="24"/>
          <w:szCs w:val="24"/>
        </w:rPr>
        <w:t>编号：</w:t>
      </w:r>
      <w:r>
        <w:rPr>
          <w:rFonts w:hint="eastAsia"/>
          <w:szCs w:val="21"/>
          <w:u w:val="single"/>
        </w:rPr>
        <w:t>0013-2</w:t>
      </w:r>
      <w:r>
        <w:rPr>
          <w:szCs w:val="21"/>
          <w:u w:val="single"/>
        </w:rPr>
        <w:t>0</w:t>
      </w:r>
      <w:r>
        <w:rPr>
          <w:rFonts w:hint="eastAsia"/>
          <w:szCs w:val="21"/>
          <w:u w:val="single"/>
        </w:rPr>
        <w:t>18</w:t>
      </w:r>
      <w:r>
        <w:rPr>
          <w:szCs w:val="21"/>
          <w:u w:val="single"/>
        </w:rPr>
        <w:t>-20</w:t>
      </w:r>
      <w:r>
        <w:rPr>
          <w:rFonts w:hint="eastAsia"/>
          <w:szCs w:val="21"/>
          <w:u w:val="single"/>
          <w:lang w:val="en-US" w:eastAsia="zh-CN"/>
        </w:rPr>
        <w:t>20</w:t>
      </w:r>
    </w:p>
    <w:p>
      <w:pPr>
        <w:widowControl/>
        <w:spacing w:line="360" w:lineRule="auto"/>
        <w:jc w:val="right"/>
        <w:rPr>
          <w:rFonts w:hint="eastAsia" w:ascii="Times New Roman" w:hAnsi="Times New Roman" w:eastAsia="宋体" w:cs="Times New Roman"/>
          <w:bCs/>
          <w:color w:val="auto"/>
          <w:kern w:val="0"/>
          <w:sz w:val="24"/>
          <w:szCs w:val="24"/>
          <w:lang w:val="en-US" w:eastAsia="zh-CN"/>
        </w:rPr>
      </w:pPr>
    </w:p>
    <w:p>
      <w:pPr>
        <w:widowControl/>
        <w:spacing w:line="360" w:lineRule="auto"/>
        <w:jc w:val="center"/>
        <w:rPr>
          <w:rFonts w:ascii="宋体" w:hAnsi="宋体" w:eastAsia="宋体" w:cs="宋体"/>
          <w:b/>
          <w:bCs/>
          <w:color w:val="auto"/>
          <w:kern w:val="0"/>
          <w:sz w:val="30"/>
          <w:szCs w:val="30"/>
        </w:rPr>
      </w:pPr>
      <w:r>
        <w:rPr>
          <w:rFonts w:ascii="宋体" w:hAnsi="宋体" w:eastAsia="宋体" w:cs="宋体"/>
          <w:b/>
          <w:bCs/>
          <w:color w:val="auto"/>
          <w:kern w:val="0"/>
          <w:sz w:val="30"/>
          <w:szCs w:val="30"/>
        </w:rPr>
        <w:t>监督审核报告</w:t>
      </w:r>
    </w:p>
    <w:p>
      <w:pPr>
        <w:widowControl/>
        <w:spacing w:line="360" w:lineRule="auto"/>
        <w:rPr>
          <w:rFonts w:cs="宋体" w:asciiTheme="minorEastAsia" w:hAnsiTheme="minorEastAsia"/>
          <w:b/>
          <w:bCs/>
          <w:color w:val="auto"/>
          <w:kern w:val="0"/>
          <w:sz w:val="24"/>
          <w:szCs w:val="24"/>
        </w:rPr>
      </w:pPr>
      <w:r>
        <w:rPr>
          <w:rFonts w:hint="eastAsia" w:cs="宋体" w:asciiTheme="minorEastAsia" w:hAnsiTheme="minorEastAsia"/>
          <w:b/>
          <w:bCs/>
          <w:color w:val="auto"/>
          <w:kern w:val="0"/>
          <w:sz w:val="24"/>
          <w:szCs w:val="24"/>
        </w:rPr>
        <w:t>一、基本情况</w:t>
      </w:r>
    </w:p>
    <w:tbl>
      <w:tblPr>
        <w:tblStyle w:val="5"/>
        <w:tblW w:w="9029"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3402"/>
        <w:gridCol w:w="1488"/>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bCs/>
                <w:color w:val="auto"/>
                <w:kern w:val="0"/>
                <w:sz w:val="24"/>
                <w:szCs w:val="24"/>
              </w:rPr>
              <w:t>企业</w:t>
            </w:r>
            <w:r>
              <w:rPr>
                <w:rFonts w:hint="eastAsia" w:asciiTheme="minorEastAsia" w:hAnsiTheme="minorEastAsia" w:eastAsiaTheme="minorEastAsia" w:cstheme="minorEastAsia"/>
                <w:color w:val="auto"/>
                <w:kern w:val="0"/>
                <w:sz w:val="24"/>
                <w:szCs w:val="24"/>
              </w:rPr>
              <w:t>名称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宋体" w:hAnsi="宋体"/>
                <w:color w:val="auto"/>
                <w:sz w:val="24"/>
                <w:szCs w:val="24"/>
              </w:rPr>
              <w:t>沙钢集团安阳永兴</w:t>
            </w:r>
            <w:r>
              <w:rPr>
                <w:rFonts w:hint="eastAsia" w:ascii="宋体" w:hAnsi="宋体"/>
                <w:color w:val="auto"/>
                <w:sz w:val="24"/>
                <w:szCs w:val="24"/>
                <w:lang w:val="en-US" w:eastAsia="zh-CN"/>
              </w:rPr>
              <w:t>特</w:t>
            </w:r>
            <w:r>
              <w:rPr>
                <w:rFonts w:hint="eastAsia" w:ascii="宋体" w:hAnsi="宋体"/>
                <w:color w:val="auto"/>
                <w:sz w:val="24"/>
                <w:szCs w:val="24"/>
              </w:rPr>
              <w:t>钢有限公司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企业联系人</w:t>
            </w:r>
          </w:p>
        </w:tc>
        <w:tc>
          <w:tcPr>
            <w:tcW w:w="2290" w:type="dxa"/>
          </w:tcPr>
          <w:p>
            <w:pPr>
              <w:tabs>
                <w:tab w:val="left" w:pos="880"/>
              </w:tabs>
              <w:autoSpaceDE w:val="0"/>
              <w:autoSpaceDN w:val="0"/>
              <w:adjustRightInd w:val="0"/>
              <w:spacing w:before="35" w:line="360" w:lineRule="auto"/>
              <w:ind w:right="161"/>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cstheme="minorEastAsia"/>
                <w:color w:val="auto"/>
                <w:kern w:val="0"/>
                <w:sz w:val="24"/>
                <w:szCs w:val="24"/>
                <w:lang w:val="en-US" w:eastAsia="zh-CN"/>
              </w:rPr>
              <w:t>吴金林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认证证书编号</w:t>
            </w:r>
          </w:p>
        </w:tc>
        <w:tc>
          <w:tcPr>
            <w:tcW w:w="3402" w:type="dxa"/>
          </w:tcPr>
          <w:p>
            <w:pPr>
              <w:tabs>
                <w:tab w:val="left" w:pos="880"/>
              </w:tabs>
              <w:autoSpaceDE w:val="0"/>
              <w:autoSpaceDN w:val="0"/>
              <w:adjustRightInd w:val="0"/>
              <w:spacing w:before="35" w:line="276" w:lineRule="auto"/>
              <w:ind w:right="161"/>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rPr>
              <w:t>ISC-201</w:t>
            </w:r>
            <w:r>
              <w:rPr>
                <w:rFonts w:hint="eastAsia" w:asciiTheme="minorEastAsia" w:hAnsiTheme="minorEastAsia" w:cstheme="minorEastAsia"/>
                <w:color w:val="auto"/>
                <w:kern w:val="0"/>
                <w:sz w:val="24"/>
                <w:szCs w:val="24"/>
                <w:lang w:val="en-US" w:eastAsia="zh-CN"/>
              </w:rPr>
              <w:t>8</w:t>
            </w:r>
            <w:r>
              <w:rPr>
                <w:rFonts w:hint="eastAsia" w:asciiTheme="minorEastAsia" w:hAnsiTheme="minorEastAsia" w:eastAsiaTheme="minorEastAsia" w:cstheme="minorEastAsia"/>
                <w:color w:val="auto"/>
                <w:kern w:val="0"/>
                <w:sz w:val="24"/>
                <w:szCs w:val="24"/>
              </w:rPr>
              <w:t>-0</w:t>
            </w:r>
            <w:r>
              <w:rPr>
                <w:rFonts w:hint="eastAsia" w:asciiTheme="minorEastAsia" w:hAnsiTheme="minorEastAsia" w:cstheme="minorEastAsia"/>
                <w:color w:val="auto"/>
                <w:kern w:val="0"/>
                <w:sz w:val="24"/>
                <w:szCs w:val="24"/>
                <w:lang w:val="en-US" w:eastAsia="zh-CN"/>
              </w:rPr>
              <w:t>256</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证书有效期</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202</w:t>
            </w:r>
            <w:r>
              <w:rPr>
                <w:rFonts w:hint="eastAsia" w:asciiTheme="minorEastAsia" w:hAnsi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月</w:t>
            </w:r>
            <w:r>
              <w:rPr>
                <w:rFonts w:hint="eastAsia" w:asciiTheme="minorEastAsia" w:hAnsiTheme="minorEastAsia" w:cstheme="minorEastAsia"/>
                <w:color w:val="auto"/>
                <w:kern w:val="0"/>
                <w:sz w:val="24"/>
                <w:szCs w:val="24"/>
                <w:lang w:val="en-US" w:eastAsia="zh-CN"/>
              </w:rPr>
              <w:t>30</w:t>
            </w:r>
            <w:r>
              <w:rPr>
                <w:rFonts w:hint="eastAsia" w:asciiTheme="minorEastAsia" w:hAnsiTheme="minorEastAsia" w:eastAsiaTheme="minorEastAsia" w:cstheme="minorEastAsia"/>
                <w:color w:val="auto"/>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监督审核次数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第</w:t>
            </w:r>
            <w:r>
              <w:rPr>
                <w:rFonts w:hint="eastAsia" w:asciiTheme="minorEastAsia" w:hAnsiTheme="minorEastAsia" w:cstheme="minorEastAsia"/>
                <w:color w:val="auto"/>
                <w:kern w:val="0"/>
                <w:sz w:val="24"/>
                <w:szCs w:val="24"/>
                <w:lang w:val="en-US" w:eastAsia="zh-CN"/>
              </w:rPr>
              <w:t>二</w:t>
            </w:r>
            <w:r>
              <w:rPr>
                <w:rFonts w:hint="eastAsia" w:asciiTheme="minorEastAsia" w:hAnsiTheme="minorEastAsia" w:eastAsiaTheme="minorEastAsia" w:cstheme="minorEastAsia"/>
                <w:color w:val="auto"/>
                <w:kern w:val="0"/>
                <w:sz w:val="24"/>
                <w:szCs w:val="24"/>
              </w:rPr>
              <w:t>次监督审核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本次监督时间</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20</w:t>
            </w:r>
            <w:r>
              <w:rPr>
                <w:rFonts w:hint="eastAsia" w:asciiTheme="minorEastAsia" w:hAnsiTheme="minorEastAsia" w:cstheme="minorEastAsia"/>
                <w:color w:val="auto"/>
                <w:kern w:val="0"/>
                <w:sz w:val="24"/>
                <w:szCs w:val="24"/>
                <w:lang w:val="en-US" w:eastAsia="zh-CN"/>
              </w:rPr>
              <w:t>20</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cstheme="minorEastAsia"/>
                <w:color w:val="auto"/>
                <w:kern w:val="0"/>
                <w:sz w:val="24"/>
                <w:szCs w:val="24"/>
                <w:lang w:val="en-US" w:eastAsia="zh-CN"/>
              </w:rPr>
              <w:t>6</w:t>
            </w:r>
            <w:r>
              <w:rPr>
                <w:rFonts w:hint="eastAsia" w:asciiTheme="minorEastAsia" w:hAnsiTheme="minorEastAsia" w:eastAsiaTheme="minorEastAsia" w:cstheme="minorEastAsia"/>
                <w:color w:val="auto"/>
                <w:kern w:val="0"/>
                <w:sz w:val="24"/>
                <w:szCs w:val="24"/>
              </w:rPr>
              <w:t>月</w:t>
            </w:r>
            <w:r>
              <w:rPr>
                <w:rFonts w:hint="eastAsia" w:asciiTheme="minorEastAsia" w:hAnsi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监督审核员</w:t>
            </w:r>
          </w:p>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姓名及确认号</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lang w:bidi="ar"/>
              </w:rPr>
            </w:pPr>
            <w:r>
              <w:rPr>
                <w:rFonts w:hint="eastAsia" w:asciiTheme="minorEastAsia" w:hAnsiTheme="minorEastAsia" w:eastAsiaTheme="minorEastAsia" w:cstheme="minorEastAsia"/>
                <w:color w:val="auto"/>
                <w:sz w:val="24"/>
                <w:szCs w:val="24"/>
              </w:rPr>
              <w:t>黄金荣：</w:t>
            </w:r>
            <w:r>
              <w:rPr>
                <w:rFonts w:hint="eastAsia" w:ascii="宋体" w:hAnsi="宋体"/>
                <w:color w:val="auto"/>
                <w:sz w:val="24"/>
                <w:szCs w:val="24"/>
              </w:rPr>
              <w:t>中认协评-（2018）249 号</w:t>
            </w:r>
          </w:p>
          <w:p>
            <w:pPr>
              <w:tabs>
                <w:tab w:val="left" w:pos="880"/>
              </w:tabs>
              <w:autoSpaceDE w:val="0"/>
              <w:autoSpaceDN w:val="0"/>
              <w:adjustRightInd w:val="0"/>
              <w:spacing w:before="35" w:line="276" w:lineRule="auto"/>
              <w:ind w:right="161"/>
              <w:rPr>
                <w:color w:val="auto"/>
                <w:sz w:val="24"/>
                <w:szCs w:val="24"/>
              </w:rPr>
            </w:pPr>
            <w:r>
              <w:rPr>
                <w:color w:val="auto"/>
                <w:sz w:val="24"/>
                <w:szCs w:val="24"/>
              </w:rPr>
              <w:t>尹彩侠</w:t>
            </w:r>
            <w:r>
              <w:rPr>
                <w:rFonts w:hint="eastAsia" w:asciiTheme="minorEastAsia" w:hAnsiTheme="minorEastAsia" w:eastAsiaTheme="minorEastAsia" w:cstheme="minorEastAsia"/>
                <w:color w:val="auto"/>
                <w:kern w:val="0"/>
                <w:sz w:val="24"/>
                <w:szCs w:val="24"/>
                <w:lang w:bidi="ar"/>
              </w:rPr>
              <w:t>：</w:t>
            </w:r>
            <w:r>
              <w:rPr>
                <w:color w:val="auto"/>
                <w:sz w:val="24"/>
                <w:szCs w:val="24"/>
              </w:rPr>
              <w:t>中认协注</w:t>
            </w:r>
            <w:r>
              <w:rPr>
                <w:rFonts w:hint="eastAsia" w:ascii="宋体" w:hAnsi="宋体"/>
                <w:color w:val="auto"/>
                <w:sz w:val="24"/>
                <w:szCs w:val="24"/>
              </w:rPr>
              <w:t>-</w:t>
            </w:r>
            <w:r>
              <w:rPr>
                <w:rFonts w:hint="eastAsia"/>
                <w:color w:val="auto"/>
                <w:sz w:val="24"/>
                <w:szCs w:val="24"/>
              </w:rPr>
              <w:t>（</w:t>
            </w:r>
            <w:r>
              <w:rPr>
                <w:rFonts w:ascii="宋体" w:hAnsi="宋体"/>
                <w:color w:val="auto"/>
                <w:sz w:val="24"/>
                <w:szCs w:val="24"/>
              </w:rPr>
              <w:t>2016</w:t>
            </w:r>
            <w:r>
              <w:rPr>
                <w:rFonts w:hint="eastAsia"/>
                <w:color w:val="auto"/>
                <w:sz w:val="24"/>
                <w:szCs w:val="24"/>
              </w:rPr>
              <w:t>）</w:t>
            </w:r>
            <w:r>
              <w:rPr>
                <w:rFonts w:ascii="宋体" w:hAnsi="宋体"/>
                <w:color w:val="auto"/>
                <w:sz w:val="24"/>
                <w:szCs w:val="24"/>
              </w:rPr>
              <w:t xml:space="preserve">294 </w:t>
            </w:r>
            <w:r>
              <w:rPr>
                <w:color w:val="auto"/>
                <w:sz w:val="24"/>
                <w:szCs w:val="24"/>
              </w:rPr>
              <w:t>号</w:t>
            </w:r>
          </w:p>
          <w:p>
            <w:pPr>
              <w:spacing w:line="240" w:lineRule="exact"/>
              <w:jc w:val="both"/>
              <w:rPr>
                <w:rFonts w:hint="eastAsia" w:ascii="宋体" w:hAnsi="宋体" w:eastAsia="宋体" w:cs="宋体"/>
                <w:b w:val="0"/>
                <w:bCs w:val="0"/>
                <w:color w:val="auto"/>
                <w:sz w:val="24"/>
                <w:szCs w:val="24"/>
                <w:shd w:val="clear" w:color="auto" w:fill="auto"/>
              </w:rPr>
            </w:pPr>
            <w:r>
              <w:rPr>
                <w:color w:val="auto"/>
                <w:sz w:val="24"/>
                <w:szCs w:val="24"/>
              </w:rPr>
              <w:t>韩友道</w:t>
            </w:r>
            <w:r>
              <w:rPr>
                <w:rFonts w:hint="eastAsia"/>
                <w:color w:val="auto"/>
                <w:sz w:val="24"/>
                <w:szCs w:val="24"/>
                <w:lang w:eastAsia="zh-CN"/>
              </w:rPr>
              <w:t>：</w:t>
            </w:r>
            <w:r>
              <w:rPr>
                <w:rFonts w:hint="eastAsia" w:ascii="宋体" w:hAnsi="宋体" w:eastAsia="宋体" w:cs="宋体"/>
                <w:b w:val="0"/>
                <w:bCs w:val="0"/>
                <w:color w:val="auto"/>
                <w:sz w:val="24"/>
                <w:szCs w:val="24"/>
                <w:shd w:val="clear" w:color="auto" w:fill="auto"/>
              </w:rPr>
              <w:t>ISC-JSZJ-001</w:t>
            </w:r>
          </w:p>
          <w:p>
            <w:pPr>
              <w:spacing w:line="240" w:lineRule="exact"/>
              <w:jc w:val="both"/>
              <w:rPr>
                <w:rFonts w:hint="eastAsia" w:ascii="宋体" w:hAnsi="宋体" w:eastAsia="宋体" w:cs="宋体"/>
                <w:color w:val="auto"/>
                <w:sz w:val="24"/>
                <w:szCs w:val="24"/>
              </w:rPr>
            </w:pPr>
          </w:p>
          <w:p>
            <w:pPr>
              <w:spacing w:line="240" w:lineRule="exact"/>
              <w:jc w:val="both"/>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rPr>
              <w:t>孙敦勤</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shd w:val="clear" w:color="auto" w:fill="auto"/>
              </w:rPr>
              <w:t>ISC-JSZJ-002</w:t>
            </w:r>
          </w:p>
          <w:p>
            <w:pPr>
              <w:tabs>
                <w:tab w:val="left" w:pos="880"/>
              </w:tabs>
              <w:autoSpaceDE w:val="0"/>
              <w:autoSpaceDN w:val="0"/>
              <w:adjustRightInd w:val="0"/>
              <w:spacing w:before="35" w:line="276" w:lineRule="auto"/>
              <w:ind w:right="161"/>
              <w:rPr>
                <w:rFonts w:hint="eastAsia" w:eastAsiaTheme="minorEastAsia"/>
                <w:color w:val="auto"/>
                <w:lang w:eastAsia="zh-CN"/>
              </w:rPr>
            </w:pP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bCs/>
                <w:color w:val="auto"/>
                <w:kern w:val="0"/>
                <w:sz w:val="24"/>
                <w:szCs w:val="24"/>
              </w:rPr>
              <w:t>监督审核涉及的区域或部门</w:t>
            </w:r>
          </w:p>
        </w:tc>
        <w:tc>
          <w:tcPr>
            <w:tcW w:w="2290" w:type="dxa"/>
          </w:tcPr>
          <w:p>
            <w:pPr>
              <w:jc w:val="center"/>
              <w:rPr>
                <w:rFonts w:hint="eastAsia" w:ascii="宋体" w:hAnsi="宋体" w:eastAsia="宋体"/>
                <w:bCs/>
                <w:color w:val="auto"/>
                <w:sz w:val="21"/>
                <w:szCs w:val="21"/>
                <w:lang w:val="en-US" w:eastAsia="zh-CN"/>
              </w:rPr>
            </w:pPr>
            <w:r>
              <w:rPr>
                <w:rFonts w:hint="eastAsia" w:ascii="宋体" w:hAnsi="宋体" w:eastAsia="宋体" w:cs="宋体"/>
                <w:color w:val="auto"/>
                <w:sz w:val="24"/>
                <w:szCs w:val="24"/>
                <w:lang w:eastAsia="zh-CN"/>
              </w:rPr>
              <w:t>设备能源环保处</w:t>
            </w:r>
          </w:p>
          <w:p>
            <w:pPr>
              <w:ind w:firstLine="240" w:firstLineChars="100"/>
              <w:jc w:val="both"/>
              <w:rPr>
                <w:rFonts w:hint="eastAsia" w:ascii="宋体" w:hAnsi="宋体" w:eastAsiaTheme="minorEastAsia"/>
                <w:bCs/>
                <w:color w:val="auto"/>
                <w:sz w:val="24"/>
                <w:szCs w:val="24"/>
                <w:lang w:eastAsia="zh-CN"/>
              </w:rPr>
            </w:pPr>
            <w:r>
              <w:rPr>
                <w:rFonts w:hint="eastAsia" w:ascii="宋体" w:hAnsi="宋体"/>
                <w:bCs/>
                <w:color w:val="auto"/>
                <w:sz w:val="24"/>
                <w:szCs w:val="24"/>
              </w:rPr>
              <w:t>炼钢厂</w:t>
            </w:r>
          </w:p>
          <w:p>
            <w:pPr>
              <w:tabs>
                <w:tab w:val="left" w:pos="880"/>
              </w:tabs>
              <w:autoSpaceDE w:val="0"/>
              <w:autoSpaceDN w:val="0"/>
              <w:adjustRightInd w:val="0"/>
              <w:spacing w:before="35" w:line="360" w:lineRule="auto"/>
              <w:ind w:right="161" w:firstLine="240" w:firstLineChars="100"/>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cstheme="minorEastAsia"/>
                <w:color w:val="auto"/>
                <w:kern w:val="0"/>
                <w:sz w:val="24"/>
                <w:szCs w:val="24"/>
                <w:lang w:val="en-US" w:eastAsia="zh-CN"/>
              </w:rPr>
              <w:t>技术质量处</w:t>
            </w:r>
          </w:p>
        </w:tc>
      </w:tr>
    </w:tbl>
    <w:p>
      <w:pPr>
        <w:widowControl/>
        <w:spacing w:line="360" w:lineRule="auto"/>
        <w:rPr>
          <w:rFonts w:cs="宋体" w:asciiTheme="minorEastAsia" w:hAnsiTheme="minorEastAsia"/>
          <w:color w:val="auto"/>
          <w:kern w:val="0"/>
          <w:sz w:val="24"/>
          <w:szCs w:val="24"/>
        </w:rPr>
      </w:pPr>
      <w:r>
        <w:rPr>
          <w:rFonts w:hint="eastAsia" w:cs="宋体" w:asciiTheme="minorEastAsia" w:hAnsiTheme="minorEastAsia"/>
          <w:b/>
          <w:bCs/>
          <w:color w:val="auto"/>
          <w:kern w:val="0"/>
          <w:sz w:val="24"/>
          <w:szCs w:val="24"/>
        </w:rPr>
        <w:t>二、</w:t>
      </w:r>
      <w:r>
        <w:rPr>
          <w:rFonts w:cs="宋体" w:asciiTheme="minorEastAsia" w:hAnsiTheme="minorEastAsia"/>
          <w:b/>
          <w:bCs/>
          <w:color w:val="auto"/>
          <w:kern w:val="0"/>
          <w:sz w:val="24"/>
          <w:szCs w:val="24"/>
        </w:rPr>
        <w:t>监督审核</w:t>
      </w:r>
      <w:r>
        <w:rPr>
          <w:rFonts w:hint="eastAsia" w:cs="宋体" w:asciiTheme="minorEastAsia" w:hAnsiTheme="minorEastAsia"/>
          <w:b/>
          <w:bCs/>
          <w:color w:val="auto"/>
          <w:kern w:val="0"/>
          <w:sz w:val="24"/>
          <w:szCs w:val="24"/>
        </w:rPr>
        <w:t>内容</w:t>
      </w:r>
      <w:r>
        <w:rPr>
          <w:rFonts w:hint="eastAsia" w:cs="宋体" w:asciiTheme="minorEastAsia" w:hAnsiTheme="minorEastAsia"/>
          <w:bCs/>
          <w:color w:val="auto"/>
          <w:kern w:val="0"/>
          <w:sz w:val="24"/>
          <w:szCs w:val="24"/>
        </w:rPr>
        <w:t>：</w:t>
      </w:r>
    </w:p>
    <w:p>
      <w:pPr>
        <w:widowControl/>
        <w:spacing w:line="360" w:lineRule="auto"/>
        <w:rPr>
          <w:rFonts w:asciiTheme="majorEastAsia" w:hAnsiTheme="majorEastAsia" w:eastAsiaTheme="majorEastAsia" w:cstheme="majorEastAsia"/>
          <w:bCs/>
          <w:color w:val="auto"/>
          <w:kern w:val="0"/>
          <w:sz w:val="24"/>
          <w:szCs w:val="24"/>
        </w:rPr>
      </w:pPr>
      <w:r>
        <w:rPr>
          <w:rFonts w:hint="eastAsia" w:asciiTheme="majorEastAsia" w:hAnsiTheme="majorEastAsia" w:eastAsiaTheme="majorEastAsia" w:cstheme="majorEastAsia"/>
          <w:bCs/>
          <w:color w:val="auto"/>
          <w:kern w:val="0"/>
          <w:sz w:val="24"/>
          <w:szCs w:val="24"/>
        </w:rPr>
        <w:t>1.一年内违反法律法规或重大事故的情况：</w:t>
      </w:r>
    </w:p>
    <w:p>
      <w:pPr>
        <w:spacing w:line="360" w:lineRule="auto"/>
        <w:ind w:right="-512" w:rightChars="-244" w:firstLine="480" w:firstLineChars="200"/>
        <w:rPr>
          <w:rFonts w:hint="eastAsia" w:asciiTheme="majorEastAsia" w:hAnsiTheme="majorEastAsia" w:eastAsiaTheme="majorEastAsia" w:cstheme="majorEastAsia"/>
          <w:b w:val="0"/>
          <w:bCs/>
          <w:color w:val="auto"/>
          <w:kern w:val="0"/>
          <w:sz w:val="24"/>
          <w:szCs w:val="24"/>
        </w:rPr>
      </w:pPr>
      <w:r>
        <w:rPr>
          <w:rFonts w:hint="eastAsia" w:asciiTheme="majorEastAsia" w:hAnsiTheme="majorEastAsia" w:eastAsiaTheme="majorEastAsia" w:cstheme="majorEastAsia"/>
          <w:bCs/>
          <w:color w:val="auto"/>
          <w:kern w:val="0"/>
          <w:sz w:val="24"/>
          <w:szCs w:val="24"/>
        </w:rPr>
        <w:t>一年来，公司日常运行中生产、经营、安全、及管理方面比去年都有很大提升，企业制定了多项生产管理文件、制度，测量管理体系理念更加深入人心，企业未有违反法律、法规问题和产品质量问题的投诉或重大质量事故发生。</w:t>
      </w:r>
      <w:r>
        <w:rPr>
          <w:rFonts w:hint="eastAsia" w:asciiTheme="majorEastAsia" w:hAnsiTheme="majorEastAsia" w:eastAsiaTheme="majorEastAsia" w:cstheme="majorEastAsia"/>
          <w:b w:val="0"/>
          <w:bCs/>
          <w:color w:val="auto"/>
          <w:kern w:val="0"/>
          <w:sz w:val="24"/>
          <w:szCs w:val="24"/>
          <w:lang w:val="en-US" w:eastAsia="zh-CN"/>
        </w:rPr>
        <w:t>企业能源计量情况：</w:t>
      </w:r>
      <w:r>
        <w:rPr>
          <w:rFonts w:hint="eastAsia" w:ascii="宋体" w:hAnsi="宋体" w:eastAsia="宋体" w:cs="宋体"/>
          <w:b w:val="0"/>
          <w:bCs/>
          <w:color w:val="auto"/>
          <w:sz w:val="24"/>
        </w:rPr>
        <w:t>201</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rPr>
        <w:t>年耗能为</w:t>
      </w:r>
      <w:r>
        <w:rPr>
          <w:rFonts w:hint="eastAsia" w:ascii="宋体" w:hAnsi="宋体" w:eastAsia="宋体" w:cs="宋体"/>
          <w:b w:val="0"/>
          <w:bCs w:val="0"/>
          <w:color w:val="auto"/>
          <w:sz w:val="24"/>
          <w:szCs w:val="24"/>
          <w:lang w:val="zh-CN"/>
        </w:rPr>
        <w:t>109.23</w:t>
      </w:r>
      <w:r>
        <w:rPr>
          <w:rFonts w:hint="eastAsia"/>
          <w:b/>
          <w:bCs/>
          <w:color w:val="auto"/>
          <w:sz w:val="24"/>
          <w:szCs w:val="24"/>
          <w:lang w:val="zh-CN"/>
        </w:rPr>
        <w:t>万吨</w:t>
      </w:r>
      <w:r>
        <w:rPr>
          <w:rFonts w:hint="eastAsia" w:ascii="宋体" w:hAnsi="宋体" w:eastAsia="宋体" w:cs="宋体"/>
          <w:b w:val="0"/>
          <w:bCs/>
          <w:color w:val="auto"/>
          <w:sz w:val="24"/>
        </w:rPr>
        <w:t>万吨标准煤。</w:t>
      </w:r>
      <w:r>
        <w:rPr>
          <w:rFonts w:hint="eastAsia" w:ascii="宋体" w:hAnsi="宋体"/>
          <w:b w:val="0"/>
          <w:bCs/>
          <w:color w:val="auto"/>
          <w:sz w:val="24"/>
          <w:szCs w:val="24"/>
          <w:lang w:val="en-US" w:eastAsia="zh-CN"/>
        </w:rPr>
        <w:t>是重点耗能单位。</w:t>
      </w:r>
      <w:r>
        <w:rPr>
          <w:rFonts w:hint="eastAsia" w:ascii="宋体" w:hAnsi="宋体" w:eastAsia="宋体" w:cs="宋体"/>
          <w:b w:val="0"/>
          <w:bCs/>
          <w:color w:val="auto"/>
          <w:sz w:val="24"/>
        </w:rPr>
        <w:t>企业配备进出用能单位测量设备为</w:t>
      </w:r>
      <w:r>
        <w:rPr>
          <w:rFonts w:hint="eastAsia" w:ascii="宋体" w:hAnsi="宋体" w:eastAsia="宋体" w:cs="宋体"/>
          <w:b w:val="0"/>
          <w:bCs/>
          <w:color w:val="auto"/>
          <w:sz w:val="24"/>
          <w:lang w:val="en-US" w:eastAsia="zh-CN"/>
        </w:rPr>
        <w:t>10</w:t>
      </w:r>
      <w:r>
        <w:rPr>
          <w:rFonts w:hint="eastAsia" w:ascii="宋体" w:hAnsi="宋体" w:eastAsia="宋体" w:cs="宋体"/>
          <w:b w:val="0"/>
          <w:bCs/>
          <w:color w:val="auto"/>
          <w:sz w:val="24"/>
        </w:rPr>
        <w:t>台件，次级用能单位测量设备12</w:t>
      </w:r>
      <w:r>
        <w:rPr>
          <w:rFonts w:hint="eastAsia" w:ascii="宋体" w:hAnsi="宋体" w:eastAsia="宋体" w:cs="宋体"/>
          <w:b w:val="0"/>
          <w:bCs/>
          <w:color w:val="auto"/>
          <w:sz w:val="24"/>
          <w:lang w:val="en-US" w:eastAsia="zh-CN"/>
        </w:rPr>
        <w:t>2</w:t>
      </w:r>
      <w:r>
        <w:rPr>
          <w:rFonts w:hint="eastAsia" w:ascii="宋体" w:hAnsi="宋体" w:eastAsia="宋体" w:cs="宋体"/>
          <w:b w:val="0"/>
          <w:bCs/>
          <w:color w:val="auto"/>
          <w:sz w:val="24"/>
        </w:rPr>
        <w:t>台件，主要用能测量设备为</w:t>
      </w:r>
      <w:r>
        <w:rPr>
          <w:rFonts w:hint="eastAsia" w:ascii="宋体" w:hAnsi="宋体" w:eastAsia="宋体" w:cs="宋体"/>
          <w:b w:val="0"/>
          <w:bCs/>
          <w:color w:val="auto"/>
          <w:sz w:val="24"/>
          <w:lang w:val="en-US" w:eastAsia="zh-CN"/>
        </w:rPr>
        <w:t>405</w:t>
      </w:r>
      <w:r>
        <w:rPr>
          <w:rFonts w:hint="eastAsia" w:ascii="宋体" w:hAnsi="宋体" w:eastAsia="宋体" w:cs="宋体"/>
          <w:b w:val="0"/>
          <w:bCs/>
          <w:color w:val="auto"/>
          <w:sz w:val="24"/>
        </w:rPr>
        <w:t>台件，配备率均满足要求。企业主要耗能为电力和焦炭，配备电能表</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lang w:val="en-US" w:eastAsia="zh-CN"/>
        </w:rPr>
        <w:t>轨道衡和</w:t>
      </w:r>
      <w:r>
        <w:rPr>
          <w:rFonts w:hint="eastAsia" w:ascii="宋体" w:hAnsi="宋体" w:eastAsia="宋体" w:cs="宋体"/>
          <w:b w:val="0"/>
          <w:bCs/>
          <w:color w:val="auto"/>
          <w:sz w:val="24"/>
        </w:rPr>
        <w:t>电子汽车衡。能源测量设备配备和准确度等级满足要求</w:t>
      </w:r>
      <w:r>
        <w:rPr>
          <w:rFonts w:hint="eastAsia" w:ascii="宋体" w:hAnsi="宋体"/>
          <w:b w:val="0"/>
          <w:bCs/>
          <w:color w:val="auto"/>
          <w:sz w:val="24"/>
          <w:szCs w:val="24"/>
          <w:lang w:val="en-US" w:eastAsia="zh-CN"/>
        </w:rPr>
        <w:t>。</w:t>
      </w:r>
    </w:p>
    <w:p>
      <w:pPr>
        <w:spacing w:line="360" w:lineRule="auto"/>
        <w:ind w:right="-512" w:rightChars="-244"/>
        <w:rPr>
          <w:rFonts w:hint="eastAsia" w:asciiTheme="majorEastAsia" w:hAnsiTheme="majorEastAsia" w:eastAsiaTheme="majorEastAsia" w:cstheme="majorEastAsia"/>
          <w:bCs/>
          <w:color w:val="auto"/>
          <w:kern w:val="0"/>
          <w:sz w:val="24"/>
          <w:szCs w:val="24"/>
        </w:rPr>
      </w:pPr>
      <w:r>
        <w:rPr>
          <w:rFonts w:hint="eastAsia" w:asciiTheme="majorEastAsia" w:hAnsiTheme="majorEastAsia" w:eastAsiaTheme="majorEastAsia" w:cstheme="majorEastAsia"/>
          <w:bCs/>
          <w:color w:val="auto"/>
          <w:kern w:val="0"/>
          <w:sz w:val="24"/>
          <w:szCs w:val="24"/>
        </w:rPr>
        <w:t>2.监督审核过程简述：</w:t>
      </w:r>
    </w:p>
    <w:p>
      <w:pPr>
        <w:spacing w:line="360" w:lineRule="auto"/>
        <w:ind w:right="-512" w:rightChars="-244"/>
        <w:rPr>
          <w:rFonts w:asciiTheme="majorEastAsia" w:hAnsiTheme="majorEastAsia" w:eastAsiaTheme="majorEastAsia" w:cstheme="majorEastAsia"/>
          <w:color w:val="auto"/>
          <w:sz w:val="24"/>
          <w:szCs w:val="24"/>
        </w:rPr>
      </w:pPr>
      <w:r>
        <w:rPr>
          <w:rFonts w:hint="eastAsia" w:ascii="宋体" w:hAnsi="宋体"/>
          <w:color w:val="auto"/>
          <w:sz w:val="24"/>
          <w:szCs w:val="24"/>
        </w:rPr>
        <w:t xml:space="preserve">   </w:t>
      </w:r>
    </w:p>
    <w:p>
      <w:pPr>
        <w:spacing w:line="360" w:lineRule="auto"/>
        <w:ind w:right="-512" w:rightChars="-244"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为</w:t>
      </w:r>
      <w:r>
        <w:rPr>
          <w:rFonts w:hint="eastAsia" w:asciiTheme="majorEastAsia" w:hAnsiTheme="majorEastAsia" w:eastAsiaTheme="majorEastAsia" w:cstheme="majorEastAsia"/>
          <w:bCs/>
          <w:color w:val="auto"/>
          <w:kern w:val="0"/>
          <w:sz w:val="24"/>
          <w:szCs w:val="24"/>
        </w:rPr>
        <w:t>有效评价公司测量管理体系认证后一年以来运行情况，在</w:t>
      </w:r>
      <w:r>
        <w:rPr>
          <w:rFonts w:hint="eastAsia" w:ascii="宋体" w:hAnsi="宋体"/>
          <w:color w:val="auto"/>
          <w:sz w:val="24"/>
          <w:szCs w:val="24"/>
        </w:rPr>
        <w:t>沙钢集团安阳永兴</w:t>
      </w:r>
      <w:r>
        <w:rPr>
          <w:rFonts w:hint="eastAsia" w:ascii="宋体" w:hAnsi="宋体"/>
          <w:color w:val="auto"/>
          <w:sz w:val="24"/>
          <w:szCs w:val="24"/>
          <w:lang w:val="en-US" w:eastAsia="zh-CN"/>
        </w:rPr>
        <w:t>特</w:t>
      </w:r>
      <w:r>
        <w:rPr>
          <w:rFonts w:hint="eastAsia" w:ascii="宋体" w:hAnsi="宋体"/>
          <w:color w:val="auto"/>
          <w:sz w:val="24"/>
          <w:szCs w:val="24"/>
        </w:rPr>
        <w:t>钢有限公司</w:t>
      </w:r>
      <w:r>
        <w:rPr>
          <w:rFonts w:hint="eastAsia" w:asciiTheme="majorEastAsia" w:hAnsiTheme="majorEastAsia" w:eastAsiaTheme="majorEastAsia" w:cstheme="majorEastAsia"/>
          <w:bCs/>
          <w:color w:val="auto"/>
          <w:kern w:val="0"/>
          <w:sz w:val="24"/>
          <w:szCs w:val="24"/>
        </w:rPr>
        <w:t>现场审核中，审核组分两个组先、后抽样检查了涉及公司测量体系内的管理、生产、质量和环境等方面的</w:t>
      </w:r>
      <w:r>
        <w:rPr>
          <w:rFonts w:hint="eastAsia" w:asciiTheme="majorEastAsia" w:hAnsiTheme="majorEastAsia" w:eastAsiaTheme="majorEastAsia" w:cstheme="majorEastAsia"/>
          <w:bCs/>
          <w:color w:val="auto"/>
          <w:kern w:val="0"/>
          <w:sz w:val="24"/>
          <w:szCs w:val="24"/>
          <w:lang w:val="en-US" w:eastAsia="zh-CN"/>
        </w:rPr>
        <w:t>2</w:t>
      </w:r>
      <w:r>
        <w:rPr>
          <w:rFonts w:hint="eastAsia" w:asciiTheme="majorEastAsia" w:hAnsiTheme="majorEastAsia" w:eastAsiaTheme="majorEastAsia" w:cstheme="majorEastAsia"/>
          <w:bCs/>
          <w:color w:val="auto"/>
          <w:kern w:val="0"/>
          <w:sz w:val="24"/>
          <w:szCs w:val="24"/>
        </w:rPr>
        <w:t>个职能部门</w:t>
      </w:r>
      <w:r>
        <w:rPr>
          <w:rFonts w:hint="eastAsia" w:asciiTheme="majorEastAsia" w:hAnsiTheme="majorEastAsia" w:eastAsiaTheme="majorEastAsia" w:cstheme="majorEastAsia"/>
          <w:bCs/>
          <w:color w:val="auto"/>
          <w:kern w:val="0"/>
          <w:sz w:val="24"/>
          <w:szCs w:val="24"/>
          <w:lang w:val="en-US" w:eastAsia="zh-CN"/>
        </w:rPr>
        <w:t>和1个分厂</w:t>
      </w:r>
      <w:r>
        <w:rPr>
          <w:rFonts w:hint="eastAsia" w:asciiTheme="majorEastAsia" w:hAnsiTheme="majorEastAsia" w:eastAsiaTheme="majorEastAsia" w:cstheme="majorEastAsia"/>
          <w:bCs/>
          <w:color w:val="auto"/>
          <w:kern w:val="0"/>
          <w:sz w:val="24"/>
          <w:szCs w:val="24"/>
        </w:rPr>
        <w:t>。</w:t>
      </w:r>
      <w:r>
        <w:rPr>
          <w:rFonts w:hint="eastAsia" w:asciiTheme="majorEastAsia" w:hAnsiTheme="majorEastAsia" w:eastAsiaTheme="majorEastAsia" w:cstheme="majorEastAsia"/>
          <w:bCs/>
          <w:color w:val="auto"/>
          <w:kern w:val="0"/>
          <w:sz w:val="24"/>
          <w:szCs w:val="24"/>
          <w:lang w:val="en-US" w:eastAsia="zh-CN"/>
        </w:rPr>
        <w:t>覆盖了</w:t>
      </w:r>
      <w:r>
        <w:rPr>
          <w:rFonts w:hint="eastAsia" w:asciiTheme="majorEastAsia" w:hAnsiTheme="majorEastAsia" w:eastAsiaTheme="majorEastAsia" w:cstheme="majorEastAsia"/>
          <w:color w:val="auto"/>
          <w:sz w:val="24"/>
          <w:szCs w:val="24"/>
        </w:rPr>
        <w:t>GB/T 19022-2003标</w:t>
      </w:r>
      <w:r>
        <w:rPr>
          <w:rFonts w:hint="eastAsia" w:asciiTheme="minorEastAsia" w:hAnsiTheme="minorEastAsia" w:eastAsiaTheme="minorEastAsia" w:cstheme="minorEastAsia"/>
          <w:color w:val="auto"/>
          <w:sz w:val="24"/>
          <w:szCs w:val="24"/>
        </w:rPr>
        <w:t>准</w:t>
      </w:r>
      <w:r>
        <w:rPr>
          <w:rFonts w:hint="eastAsia" w:asciiTheme="minorEastAsia" w:hAnsiTheme="minorEastAsia" w:eastAsiaTheme="minorEastAsia" w:cstheme="minorEastAsia"/>
          <w:color w:val="auto"/>
          <w:sz w:val="24"/>
          <w:szCs w:val="24"/>
          <w:lang w:val="en-US" w:eastAsia="zh-CN"/>
        </w:rPr>
        <w:t>相关要素和体系涉及的主要范围。</w:t>
      </w:r>
      <w:r>
        <w:rPr>
          <w:rFonts w:hint="eastAsia" w:asciiTheme="minorEastAsia" w:hAnsiTheme="minorEastAsia" w:eastAsiaTheme="minorEastAsia" w:cstheme="minorEastAsia"/>
          <w:bCs/>
          <w:color w:val="auto"/>
          <w:kern w:val="0"/>
          <w:sz w:val="24"/>
          <w:szCs w:val="24"/>
        </w:rPr>
        <w:t>重点核查环节有</w:t>
      </w:r>
      <w:r>
        <w:rPr>
          <w:rFonts w:hint="eastAsia" w:asciiTheme="minorEastAsia" w:hAnsiTheme="minorEastAsia" w:eastAsiaTheme="minorEastAsia" w:cstheme="minorEastAsia"/>
          <w:bCs/>
          <w:color w:val="auto"/>
          <w:kern w:val="0"/>
          <w:sz w:val="24"/>
          <w:szCs w:val="24"/>
          <w:lang w:val="en-US" w:eastAsia="zh-CN"/>
        </w:rPr>
        <w:t>原材料检验、产品出厂检验等测量过程</w:t>
      </w:r>
      <w:r>
        <w:rPr>
          <w:rFonts w:hint="eastAsia" w:asciiTheme="minorEastAsia" w:hAnsiTheme="minorEastAsia" w:eastAsiaTheme="minorEastAsia" w:cstheme="minorEastAsia"/>
          <w:bCs/>
          <w:color w:val="auto"/>
          <w:kern w:val="0"/>
          <w:sz w:val="24"/>
          <w:szCs w:val="24"/>
        </w:rPr>
        <w:t>及测量设备量值溯源完成情况。</w:t>
      </w:r>
      <w:r>
        <w:rPr>
          <w:rFonts w:hint="eastAsia" w:asciiTheme="minorEastAsia" w:hAnsiTheme="minorEastAsia" w:cstheme="minorEastAsia"/>
          <w:bCs/>
          <w:color w:val="auto"/>
          <w:kern w:val="0"/>
          <w:sz w:val="24"/>
          <w:szCs w:val="24"/>
          <w:lang w:val="en-US" w:eastAsia="zh-CN"/>
        </w:rPr>
        <w:t>企业未建立最高计量标准，测量设备均送到有资质的检定/校准机构检定/校准。控制的抽查：抽查不确定度评定、监视与统计、有效性确认、控制图等方法正确。测量方法、环境条件、人员操作技能受控，满足要求。</w:t>
      </w:r>
      <w:r>
        <w:rPr>
          <w:rFonts w:hint="eastAsia" w:asciiTheme="minorEastAsia" w:hAnsiTheme="minorEastAsia" w:eastAsiaTheme="minorEastAsia" w:cstheme="minorEastAsia"/>
          <w:bCs/>
          <w:color w:val="auto"/>
          <w:kern w:val="0"/>
          <w:sz w:val="24"/>
          <w:szCs w:val="24"/>
        </w:rPr>
        <w:t>公司领导层重视测量管理体系各项工作，配备完善了相关资源和</w:t>
      </w:r>
      <w:r>
        <w:rPr>
          <w:rFonts w:hint="eastAsia" w:asciiTheme="minorEastAsia" w:hAnsiTheme="minorEastAsia" w:eastAsiaTheme="minorEastAsia" w:cstheme="minorEastAsia"/>
          <w:bCs/>
          <w:color w:val="auto"/>
          <w:kern w:val="0"/>
          <w:sz w:val="24"/>
          <w:szCs w:val="24"/>
          <w:lang w:val="en-US" w:eastAsia="zh-CN"/>
        </w:rPr>
        <w:t>设</w:t>
      </w:r>
      <w:r>
        <w:rPr>
          <w:rFonts w:hint="eastAsia" w:asciiTheme="minorEastAsia" w:hAnsiTheme="minorEastAsia" w:eastAsiaTheme="minorEastAsia" w:cstheme="minorEastAsia"/>
          <w:bCs/>
          <w:color w:val="auto"/>
          <w:kern w:val="0"/>
          <w:sz w:val="24"/>
          <w:szCs w:val="24"/>
        </w:rPr>
        <w:t>备，</w:t>
      </w:r>
      <w:r>
        <w:rPr>
          <w:rFonts w:hint="eastAsia" w:ascii="宋体" w:hAnsi="宋体"/>
          <w:bCs/>
          <w:color w:val="auto"/>
          <w:sz w:val="24"/>
          <w:szCs w:val="24"/>
        </w:rPr>
        <w:t>公司</w:t>
      </w:r>
      <w:r>
        <w:rPr>
          <w:rFonts w:hint="eastAsia" w:ascii="宋体" w:hAnsi="宋体"/>
          <w:bCs/>
          <w:color w:val="auto"/>
          <w:sz w:val="24"/>
          <w:szCs w:val="24"/>
          <w:lang w:val="en-US" w:eastAsia="zh-CN"/>
        </w:rPr>
        <w:t>制定了6项测量体系质量目标，</w:t>
      </w:r>
      <w:r>
        <w:rPr>
          <w:rFonts w:hint="eastAsia" w:ascii="宋体" w:hAnsi="宋体"/>
          <w:bCs/>
          <w:color w:val="auto"/>
          <w:sz w:val="24"/>
          <w:szCs w:val="24"/>
        </w:rPr>
        <w:t>有具体指标可测量</w:t>
      </w:r>
      <w:r>
        <w:rPr>
          <w:rFonts w:hint="eastAsia" w:ascii="宋体" w:hAnsi="宋体"/>
          <w:bCs/>
          <w:color w:val="auto"/>
          <w:sz w:val="24"/>
          <w:szCs w:val="24"/>
          <w:lang w:eastAsia="zh-CN"/>
        </w:rPr>
        <w:t>，</w:t>
      </w:r>
      <w:r>
        <w:rPr>
          <w:rFonts w:hint="eastAsia" w:ascii="宋体" w:hAnsi="宋体"/>
          <w:bCs/>
          <w:color w:val="auto"/>
          <w:sz w:val="24"/>
          <w:szCs w:val="24"/>
          <w:lang w:val="en-US" w:eastAsia="zh-CN"/>
        </w:rPr>
        <w:t>查：2020年公司级工作方针及目标展开图，质量目标</w:t>
      </w:r>
      <w:r>
        <w:rPr>
          <w:rFonts w:hint="eastAsia" w:ascii="宋体" w:hAnsi="宋体"/>
          <w:bCs/>
          <w:color w:val="auto"/>
          <w:sz w:val="24"/>
          <w:szCs w:val="24"/>
          <w:lang w:eastAsia="zh-CN"/>
        </w:rPr>
        <w:t>在相关部门进行了分解，</w:t>
      </w:r>
      <w:r>
        <w:rPr>
          <w:rFonts w:hint="eastAsia" w:ascii="宋体" w:hAnsi="宋体"/>
          <w:bCs/>
          <w:color w:val="auto"/>
          <w:sz w:val="24"/>
          <w:szCs w:val="24"/>
          <w:lang w:val="en-US" w:eastAsia="zh-CN"/>
        </w:rPr>
        <w:t>每月统计考核。1到4月份目标都已完成</w:t>
      </w:r>
      <w:r>
        <w:rPr>
          <w:rFonts w:hint="eastAsia" w:asciiTheme="minorEastAsia" w:hAnsiTheme="minorEastAsia" w:eastAsiaTheme="minorEastAsia" w:cstheme="minorEastAsia"/>
          <w:bCs/>
          <w:color w:val="auto"/>
          <w:sz w:val="24"/>
          <w:szCs w:val="24"/>
          <w:lang w:eastAsia="zh-CN"/>
        </w:rPr>
        <w:t>。</w:t>
      </w:r>
      <w:r>
        <w:rPr>
          <w:rFonts w:hint="eastAsia" w:ascii="宋体" w:hAnsi="宋体"/>
          <w:color w:val="auto"/>
          <w:sz w:val="24"/>
          <w:szCs w:val="24"/>
        </w:rPr>
        <w:t>沙钢集团安阳永兴</w:t>
      </w:r>
      <w:r>
        <w:rPr>
          <w:rFonts w:hint="eastAsia" w:ascii="宋体" w:hAnsi="宋体"/>
          <w:color w:val="auto"/>
          <w:sz w:val="24"/>
          <w:szCs w:val="24"/>
          <w:lang w:val="en-US" w:eastAsia="zh-CN"/>
        </w:rPr>
        <w:t>特</w:t>
      </w:r>
      <w:r>
        <w:rPr>
          <w:rFonts w:hint="eastAsia" w:ascii="宋体" w:hAnsi="宋体"/>
          <w:color w:val="auto"/>
          <w:sz w:val="24"/>
          <w:szCs w:val="24"/>
        </w:rPr>
        <w:t>钢有限公司</w:t>
      </w:r>
      <w:r>
        <w:rPr>
          <w:rFonts w:hint="eastAsia" w:asciiTheme="majorEastAsia" w:hAnsiTheme="majorEastAsia" w:eastAsiaTheme="majorEastAsia" w:cstheme="majorEastAsia"/>
          <w:color w:val="auto"/>
          <w:sz w:val="24"/>
          <w:szCs w:val="24"/>
        </w:rPr>
        <w:t>测量管理体系的符合性、有效性及持续改进，符合GB/T 19022-2003标准要求，公司测量管理体系正常有序运行，较好地满足了公司</w:t>
      </w:r>
      <w:r>
        <w:rPr>
          <w:rFonts w:hint="eastAsia" w:asciiTheme="majorEastAsia" w:hAnsiTheme="majorEastAsia" w:eastAsiaTheme="majorEastAsia" w:cstheme="majorEastAsia"/>
          <w:color w:val="auto"/>
          <w:sz w:val="24"/>
          <w:szCs w:val="24"/>
          <w:lang w:val="en-US" w:eastAsia="zh-CN"/>
        </w:rPr>
        <w:t>可</w:t>
      </w:r>
      <w:r>
        <w:rPr>
          <w:rFonts w:hint="eastAsia" w:asciiTheme="majorEastAsia" w:hAnsiTheme="majorEastAsia" w:eastAsiaTheme="majorEastAsia" w:cstheme="majorEastAsia"/>
          <w:color w:val="auto"/>
          <w:sz w:val="24"/>
          <w:szCs w:val="24"/>
        </w:rPr>
        <w:t>持续发展的需要。企业效益逐年</w:t>
      </w:r>
      <w:r>
        <w:rPr>
          <w:rFonts w:hint="eastAsia" w:asciiTheme="majorEastAsia" w:hAnsiTheme="majorEastAsia" w:eastAsiaTheme="majorEastAsia" w:cstheme="majorEastAsia"/>
          <w:color w:val="auto"/>
          <w:sz w:val="24"/>
          <w:szCs w:val="24"/>
          <w:lang w:val="en-US" w:eastAsia="zh-CN"/>
        </w:rPr>
        <w:t>提高</w:t>
      </w:r>
      <w:r>
        <w:rPr>
          <w:rFonts w:hint="eastAsia" w:asciiTheme="majorEastAsia" w:hAnsiTheme="majorEastAsia" w:eastAsiaTheme="majorEastAsia" w:cstheme="majorEastAsia"/>
          <w:color w:val="auto"/>
          <w:sz w:val="24"/>
          <w:szCs w:val="24"/>
        </w:rPr>
        <w:t>。</w:t>
      </w:r>
    </w:p>
    <w:p>
      <w:pPr>
        <w:spacing w:line="360" w:lineRule="auto"/>
        <w:ind w:right="-512" w:rightChars="-244"/>
        <w:rPr>
          <w:rFonts w:asciiTheme="majorEastAsia" w:hAnsiTheme="majorEastAsia" w:eastAsiaTheme="majorEastAsia" w:cstheme="majorEastAsia"/>
          <w:color w:val="auto"/>
          <w:sz w:val="24"/>
          <w:szCs w:val="24"/>
        </w:rPr>
      </w:pPr>
      <w:r>
        <w:rPr>
          <w:rFonts w:hint="eastAsia" w:asciiTheme="minorEastAsia" w:hAnsiTheme="minorEastAsia"/>
          <w:bCs/>
          <w:color w:val="auto"/>
          <w:sz w:val="24"/>
          <w:szCs w:val="24"/>
        </w:rPr>
        <w:t>3.内部审核和管理评审</w:t>
      </w:r>
      <w:r>
        <w:rPr>
          <w:rFonts w:cs="宋体" w:asciiTheme="minorEastAsia" w:hAnsiTheme="minorEastAsia"/>
          <w:bCs/>
          <w:color w:val="auto"/>
          <w:kern w:val="0"/>
          <w:sz w:val="24"/>
          <w:szCs w:val="24"/>
        </w:rPr>
        <w:t>的情况：</w:t>
      </w:r>
    </w:p>
    <w:p>
      <w:pPr>
        <w:widowControl/>
        <w:spacing w:line="360" w:lineRule="auto"/>
        <w:rPr>
          <w:rFonts w:hint="eastAsia" w:cs="宋体" w:asciiTheme="minorEastAsia" w:hAnsiTheme="minorEastAsia"/>
          <w:bCs/>
          <w:color w:val="auto"/>
          <w:kern w:val="0"/>
          <w:sz w:val="24"/>
          <w:szCs w:val="24"/>
        </w:rPr>
      </w:pPr>
    </w:p>
    <w:p>
      <w:pPr>
        <w:widowControl/>
        <w:spacing w:line="360" w:lineRule="auto"/>
        <w:rPr>
          <w:rFonts w:ascii="宋体" w:hAnsi="宋体"/>
          <w:color w:val="auto"/>
          <w:sz w:val="24"/>
          <w:szCs w:val="24"/>
        </w:rPr>
      </w:pPr>
      <w:r>
        <w:rPr>
          <w:rFonts w:hint="eastAsia" w:cs="宋体" w:asciiTheme="minorEastAsia" w:hAnsiTheme="minorEastAsia"/>
          <w:bCs/>
          <w:color w:val="auto"/>
          <w:kern w:val="0"/>
          <w:sz w:val="24"/>
          <w:szCs w:val="24"/>
        </w:rPr>
        <w:t>3.1</w:t>
      </w:r>
      <w:r>
        <w:rPr>
          <w:rFonts w:hint="eastAsia" w:ascii="宋体" w:hAnsi="宋体"/>
          <w:color w:val="auto"/>
          <w:sz w:val="24"/>
          <w:szCs w:val="24"/>
        </w:rPr>
        <w:t>公司的测量体系内审：</w:t>
      </w:r>
    </w:p>
    <w:p>
      <w:pPr>
        <w:widowControl/>
        <w:spacing w:line="360" w:lineRule="auto"/>
        <w:ind w:firstLine="480"/>
        <w:rPr>
          <w:rStyle w:val="10"/>
          <w:rFonts w:hint="eastAsia" w:ascii="宋体" w:eastAsia="宋体"/>
          <w:color w:val="auto"/>
          <w:sz w:val="21"/>
          <w:szCs w:val="21"/>
        </w:rPr>
      </w:pPr>
      <w:r>
        <w:rPr>
          <w:rFonts w:hint="eastAsia" w:ascii="宋体" w:hAnsi="宋体" w:cs="宋体"/>
          <w:bCs/>
          <w:color w:val="auto"/>
          <w:kern w:val="0"/>
          <w:sz w:val="24"/>
          <w:szCs w:val="24"/>
        </w:rPr>
        <w:t>为了充分验证公司测量管理体系运行的符合性、有效性及持续改进，于20</w:t>
      </w:r>
      <w:r>
        <w:rPr>
          <w:rFonts w:hint="eastAsia" w:ascii="宋体" w:hAnsi="宋体" w:cs="宋体"/>
          <w:bCs/>
          <w:color w:val="auto"/>
          <w:kern w:val="0"/>
          <w:sz w:val="24"/>
          <w:szCs w:val="24"/>
          <w:lang w:val="en-US" w:eastAsia="zh-CN"/>
        </w:rPr>
        <w:t>20</w:t>
      </w:r>
      <w:r>
        <w:rPr>
          <w:rFonts w:hint="eastAsia" w:ascii="宋体" w:hAnsi="宋体" w:cs="宋体"/>
          <w:bCs/>
          <w:color w:val="auto"/>
          <w:kern w:val="0"/>
          <w:sz w:val="24"/>
          <w:szCs w:val="24"/>
        </w:rPr>
        <w:t>年</w:t>
      </w:r>
      <w:r>
        <w:rPr>
          <w:rFonts w:hint="eastAsia" w:ascii="宋体" w:hAnsi="宋体" w:cs="宋体"/>
          <w:bCs/>
          <w:color w:val="auto"/>
          <w:kern w:val="0"/>
          <w:sz w:val="24"/>
          <w:szCs w:val="24"/>
          <w:lang w:val="en-US" w:eastAsia="zh-CN"/>
        </w:rPr>
        <w:t>5</w:t>
      </w:r>
      <w:r>
        <w:rPr>
          <w:rFonts w:hint="eastAsia" w:ascii="宋体" w:hAnsi="宋体" w:cs="宋体"/>
          <w:bCs/>
          <w:color w:val="auto"/>
          <w:kern w:val="0"/>
          <w:sz w:val="24"/>
          <w:szCs w:val="24"/>
        </w:rPr>
        <w:t>月</w:t>
      </w:r>
      <w:r>
        <w:rPr>
          <w:rFonts w:hint="eastAsia" w:ascii="宋体" w:hAnsi="宋体" w:cs="宋体"/>
          <w:bCs/>
          <w:color w:val="auto"/>
          <w:kern w:val="0"/>
          <w:sz w:val="24"/>
          <w:szCs w:val="24"/>
          <w:lang w:val="en-US" w:eastAsia="zh-CN"/>
        </w:rPr>
        <w:t>9</w:t>
      </w:r>
      <w:r>
        <w:rPr>
          <w:rFonts w:ascii="宋体" w:hAnsi="宋体" w:cs="宋体"/>
          <w:bCs/>
          <w:color w:val="auto"/>
          <w:kern w:val="0"/>
          <w:sz w:val="24"/>
          <w:szCs w:val="24"/>
        </w:rPr>
        <w:t>日</w:t>
      </w:r>
      <w:r>
        <w:rPr>
          <w:rFonts w:hint="eastAsia" w:ascii="宋体" w:hAnsi="宋体" w:cs="宋体"/>
          <w:bCs/>
          <w:color w:val="auto"/>
          <w:kern w:val="0"/>
          <w:sz w:val="24"/>
          <w:szCs w:val="24"/>
          <w:lang w:val="en-US" w:eastAsia="zh-CN"/>
        </w:rPr>
        <w:t>至5月10日</w:t>
      </w:r>
      <w:r>
        <w:rPr>
          <w:rFonts w:hint="eastAsia" w:ascii="宋体" w:hAnsi="宋体" w:cs="宋体"/>
          <w:bCs/>
          <w:color w:val="auto"/>
          <w:kern w:val="0"/>
          <w:sz w:val="24"/>
          <w:szCs w:val="24"/>
        </w:rPr>
        <w:t>，公司进行了年度测量管理体系</w:t>
      </w:r>
      <w:r>
        <w:rPr>
          <w:rFonts w:hint="eastAsia" w:ascii="宋体" w:hAnsi="宋体"/>
          <w:bCs/>
          <w:color w:val="auto"/>
          <w:sz w:val="24"/>
          <w:szCs w:val="24"/>
        </w:rPr>
        <w:t>内部审核工作</w:t>
      </w:r>
      <w:r>
        <w:rPr>
          <w:rFonts w:hint="eastAsia"/>
          <w:color w:val="auto"/>
          <w:sz w:val="24"/>
          <w:szCs w:val="24"/>
        </w:rPr>
        <w:t>。</w:t>
      </w:r>
      <w:r>
        <w:rPr>
          <w:rStyle w:val="10"/>
          <w:rFonts w:hint="eastAsia" w:ascii="宋体" w:eastAsia="宋体"/>
          <w:color w:val="auto"/>
          <w:sz w:val="24"/>
          <w:szCs w:val="24"/>
        </w:rPr>
        <w:t>按GB/T 19022-2003标准的要素要求，分</w:t>
      </w:r>
      <w:r>
        <w:rPr>
          <w:rStyle w:val="10"/>
          <w:rFonts w:hint="eastAsia" w:ascii="宋体" w:eastAsia="宋体"/>
          <w:color w:val="auto"/>
          <w:sz w:val="24"/>
          <w:szCs w:val="24"/>
          <w:lang w:val="en-US" w:eastAsia="zh-CN"/>
        </w:rPr>
        <w:t>2</w:t>
      </w:r>
      <w:r>
        <w:rPr>
          <w:rStyle w:val="10"/>
          <w:rFonts w:hint="eastAsia" w:ascii="宋体" w:eastAsia="宋体"/>
          <w:color w:val="auto"/>
          <w:sz w:val="24"/>
          <w:szCs w:val="24"/>
        </w:rPr>
        <w:t>个组对公司</w:t>
      </w:r>
      <w:r>
        <w:rPr>
          <w:rStyle w:val="10"/>
          <w:rFonts w:hint="eastAsia" w:ascii="宋体" w:eastAsia="宋体"/>
          <w:color w:val="auto"/>
          <w:sz w:val="24"/>
          <w:szCs w:val="24"/>
          <w:lang w:val="en-US" w:eastAsia="zh-CN"/>
        </w:rPr>
        <w:t>3</w:t>
      </w:r>
      <w:r>
        <w:rPr>
          <w:rStyle w:val="10"/>
          <w:rFonts w:hint="eastAsia" w:ascii="宋体" w:eastAsia="宋体"/>
          <w:color w:val="auto"/>
          <w:sz w:val="24"/>
          <w:szCs w:val="24"/>
        </w:rPr>
        <w:t>个职能部门</w:t>
      </w:r>
      <w:r>
        <w:rPr>
          <w:rStyle w:val="10"/>
          <w:rFonts w:hint="eastAsia" w:ascii="宋体" w:eastAsia="宋体"/>
          <w:color w:val="auto"/>
          <w:sz w:val="24"/>
          <w:szCs w:val="24"/>
          <w:lang w:val="en-US" w:eastAsia="zh-CN"/>
        </w:rPr>
        <w:t>和5个分厂</w:t>
      </w:r>
      <w:r>
        <w:rPr>
          <w:rStyle w:val="10"/>
          <w:rFonts w:hint="eastAsia" w:ascii="宋体" w:eastAsia="宋体"/>
          <w:color w:val="auto"/>
          <w:sz w:val="24"/>
          <w:szCs w:val="24"/>
        </w:rPr>
        <w:t>进行了审核。</w:t>
      </w:r>
      <w:r>
        <w:rPr>
          <w:rStyle w:val="10"/>
          <w:rFonts w:hint="eastAsia" w:ascii="宋体" w:eastAsia="宋体"/>
          <w:color w:val="auto"/>
          <w:sz w:val="24"/>
          <w:szCs w:val="24"/>
          <w:lang w:val="en-US" w:eastAsia="zh-CN"/>
        </w:rPr>
        <w:t>内部</w:t>
      </w:r>
      <w:r>
        <w:rPr>
          <w:rFonts w:hint="eastAsia"/>
          <w:color w:val="auto"/>
          <w:sz w:val="24"/>
          <w:szCs w:val="24"/>
        </w:rPr>
        <w:t>审核</w:t>
      </w:r>
      <w:r>
        <w:rPr>
          <w:rFonts w:hint="eastAsia"/>
          <w:color w:val="auto"/>
          <w:sz w:val="24"/>
          <w:szCs w:val="24"/>
          <w:lang w:val="en-US" w:eastAsia="zh-CN"/>
        </w:rPr>
        <w:t>未发现</w:t>
      </w:r>
      <w:r>
        <w:rPr>
          <w:rStyle w:val="10"/>
          <w:rFonts w:hint="eastAsia" w:ascii="宋体" w:eastAsia="宋体"/>
          <w:color w:val="auto"/>
          <w:sz w:val="24"/>
          <w:szCs w:val="24"/>
        </w:rPr>
        <w:t>不符合项</w:t>
      </w:r>
      <w:r>
        <w:rPr>
          <w:rStyle w:val="10"/>
          <w:rFonts w:hint="eastAsia" w:ascii="宋体" w:eastAsia="宋体"/>
          <w:color w:val="auto"/>
          <w:sz w:val="24"/>
          <w:szCs w:val="24"/>
          <w:lang w:eastAsia="zh-CN"/>
        </w:rPr>
        <w:t>，</w:t>
      </w:r>
      <w:r>
        <w:rPr>
          <w:rStyle w:val="10"/>
          <w:rFonts w:hint="eastAsia" w:ascii="宋体" w:eastAsia="宋体"/>
          <w:color w:val="auto"/>
          <w:sz w:val="24"/>
          <w:szCs w:val="24"/>
          <w:lang w:val="en-US" w:eastAsia="zh-CN"/>
        </w:rPr>
        <w:t>开出整改项18个，到目前为止整改项已全部完成整改。</w:t>
      </w:r>
      <w:r>
        <w:rPr>
          <w:rStyle w:val="10"/>
          <w:rFonts w:hint="eastAsia" w:ascii="宋体" w:eastAsia="宋体"/>
          <w:color w:val="auto"/>
          <w:sz w:val="24"/>
          <w:szCs w:val="24"/>
        </w:rPr>
        <w:t xml:space="preserve"> </w:t>
      </w:r>
      <w:r>
        <w:rPr>
          <w:rStyle w:val="10"/>
          <w:rFonts w:hint="eastAsia" w:ascii="宋体" w:eastAsia="宋体"/>
          <w:color w:val="auto"/>
          <w:sz w:val="21"/>
          <w:szCs w:val="21"/>
        </w:rPr>
        <w:t xml:space="preserve"> </w:t>
      </w:r>
    </w:p>
    <w:p>
      <w:pPr>
        <w:widowControl/>
        <w:spacing w:line="360" w:lineRule="auto"/>
        <w:ind w:firstLine="480"/>
        <w:rPr>
          <w:rFonts w:ascii="宋体" w:hAnsi="宋体"/>
          <w:color w:val="auto"/>
          <w:sz w:val="24"/>
          <w:szCs w:val="24"/>
        </w:rPr>
      </w:pPr>
      <w:r>
        <w:rPr>
          <w:rFonts w:hint="eastAsia" w:ascii="宋体" w:hAnsi="宋体"/>
          <w:color w:val="auto"/>
          <w:sz w:val="24"/>
          <w:szCs w:val="24"/>
        </w:rPr>
        <w:t>3.2公司的测量体系管理评审：</w:t>
      </w:r>
    </w:p>
    <w:p>
      <w:pPr>
        <w:widowControl/>
        <w:spacing w:line="360" w:lineRule="auto"/>
        <w:ind w:firstLine="480"/>
        <w:rPr>
          <w:rFonts w:hint="eastAsia" w:ascii="宋体" w:hAnsi="宋体" w:cs="宋体"/>
          <w:bCs/>
          <w:color w:val="auto"/>
          <w:kern w:val="0"/>
          <w:sz w:val="24"/>
          <w:szCs w:val="24"/>
        </w:rPr>
      </w:pPr>
      <w:r>
        <w:rPr>
          <w:rFonts w:hint="eastAsia" w:ascii="宋体" w:hAnsi="宋体" w:cs="宋体"/>
          <w:bCs/>
          <w:color w:val="auto"/>
          <w:kern w:val="0"/>
          <w:sz w:val="24"/>
          <w:szCs w:val="24"/>
          <w:lang w:val="en-US" w:eastAsia="zh-CN"/>
        </w:rPr>
        <w:t xml:space="preserve">   </w:t>
      </w:r>
      <w:r>
        <w:rPr>
          <w:rFonts w:hint="eastAsia" w:ascii="宋体" w:hAnsi="宋体" w:cs="宋体"/>
          <w:bCs/>
          <w:color w:val="auto"/>
          <w:kern w:val="0"/>
          <w:sz w:val="24"/>
          <w:szCs w:val="24"/>
        </w:rPr>
        <w:t>公司领导层为了系统的了解和自我评价公司测量管理体系一年内运行情况，在测量管理体系内部审核结束后，由</w:t>
      </w:r>
      <w:r>
        <w:rPr>
          <w:rFonts w:hint="eastAsia" w:ascii="宋体" w:hAnsi="宋体" w:cs="宋体"/>
          <w:bCs/>
          <w:color w:val="auto"/>
          <w:kern w:val="0"/>
          <w:sz w:val="24"/>
          <w:szCs w:val="24"/>
          <w:lang w:eastAsia="zh-CN"/>
        </w:rPr>
        <w:t>设备能源环保处</w:t>
      </w:r>
      <w:r>
        <w:rPr>
          <w:rFonts w:hint="eastAsia" w:ascii="宋体" w:hAnsi="宋体" w:cs="宋体"/>
          <w:bCs/>
          <w:color w:val="auto"/>
          <w:kern w:val="0"/>
          <w:sz w:val="24"/>
          <w:szCs w:val="24"/>
        </w:rPr>
        <w:t>牵头组织，策划制定了管理评审计划并实施。20</w:t>
      </w:r>
      <w:r>
        <w:rPr>
          <w:rFonts w:hint="eastAsia" w:ascii="宋体" w:hAnsi="宋体" w:cs="宋体"/>
          <w:bCs/>
          <w:color w:val="auto"/>
          <w:kern w:val="0"/>
          <w:sz w:val="24"/>
          <w:szCs w:val="24"/>
          <w:lang w:val="en-US" w:eastAsia="zh-CN"/>
        </w:rPr>
        <w:t>20</w:t>
      </w:r>
      <w:r>
        <w:rPr>
          <w:rFonts w:hint="eastAsia" w:ascii="宋体" w:hAnsi="宋体" w:cs="宋体"/>
          <w:bCs/>
          <w:color w:val="auto"/>
          <w:kern w:val="0"/>
          <w:sz w:val="24"/>
          <w:szCs w:val="24"/>
        </w:rPr>
        <w:t>年</w:t>
      </w:r>
      <w:r>
        <w:rPr>
          <w:rFonts w:hint="eastAsia" w:ascii="宋体" w:hAnsi="宋体" w:cs="宋体"/>
          <w:bCs/>
          <w:color w:val="auto"/>
          <w:kern w:val="0"/>
          <w:sz w:val="24"/>
          <w:szCs w:val="24"/>
          <w:lang w:val="en-US" w:eastAsia="zh-CN"/>
        </w:rPr>
        <w:t>5</w:t>
      </w:r>
      <w:r>
        <w:rPr>
          <w:rFonts w:hint="eastAsia" w:ascii="宋体" w:hAnsi="宋体" w:cs="宋体"/>
          <w:bCs/>
          <w:color w:val="auto"/>
          <w:kern w:val="0"/>
          <w:sz w:val="24"/>
          <w:szCs w:val="24"/>
        </w:rPr>
        <w:t>月</w:t>
      </w:r>
      <w:r>
        <w:rPr>
          <w:rFonts w:hint="eastAsia" w:ascii="宋体" w:hAnsi="宋体" w:cs="宋体"/>
          <w:bCs/>
          <w:color w:val="auto"/>
          <w:kern w:val="0"/>
          <w:sz w:val="24"/>
          <w:szCs w:val="24"/>
          <w:lang w:val="en-US" w:eastAsia="zh-CN"/>
        </w:rPr>
        <w:t>18</w:t>
      </w:r>
      <w:r>
        <w:rPr>
          <w:rFonts w:hint="eastAsia" w:ascii="宋体" w:hAnsi="宋体" w:cs="宋体"/>
          <w:bCs/>
          <w:color w:val="auto"/>
          <w:kern w:val="0"/>
          <w:sz w:val="24"/>
          <w:szCs w:val="24"/>
        </w:rPr>
        <w:t>日，由</w:t>
      </w:r>
      <w:r>
        <w:rPr>
          <w:rFonts w:hint="eastAsia" w:ascii="宋体" w:hAnsi="宋体" w:cs="宋体"/>
          <w:bCs/>
          <w:color w:val="auto"/>
          <w:kern w:val="0"/>
          <w:sz w:val="24"/>
          <w:szCs w:val="24"/>
          <w:lang w:val="en-US" w:eastAsia="zh-CN"/>
        </w:rPr>
        <w:t>管理者代表杨武</w:t>
      </w:r>
      <w:r>
        <w:rPr>
          <w:rFonts w:hint="eastAsia" w:ascii="宋体" w:hAnsi="宋体" w:cs="宋体"/>
          <w:bCs/>
          <w:color w:val="auto"/>
          <w:kern w:val="0"/>
          <w:sz w:val="24"/>
          <w:szCs w:val="24"/>
        </w:rPr>
        <w:t>主持，公司召集测量管理体系职能部门和相关部门领导参加的评审会议。编制了评审报告。管理评审结论为：公司测量管理体系有效运行，符合GB/T 19022-2003标准要求。体系运行是</w:t>
      </w:r>
      <w:r>
        <w:rPr>
          <w:rFonts w:hint="eastAsia" w:ascii="宋体" w:hAnsi="宋体" w:cs="宋体"/>
          <w:bCs/>
          <w:color w:val="auto"/>
          <w:kern w:val="0"/>
          <w:sz w:val="24"/>
          <w:szCs w:val="24"/>
          <w:lang w:val="en-US" w:eastAsia="zh-CN"/>
        </w:rPr>
        <w:t>充分的、</w:t>
      </w:r>
      <w:r>
        <w:rPr>
          <w:rFonts w:hint="eastAsia" w:ascii="宋体" w:hAnsi="宋体" w:cs="宋体"/>
          <w:bCs/>
          <w:color w:val="auto"/>
          <w:kern w:val="0"/>
          <w:sz w:val="24"/>
          <w:szCs w:val="24"/>
        </w:rPr>
        <w:t>、适宜的</w:t>
      </w:r>
      <w:r>
        <w:rPr>
          <w:rFonts w:hint="eastAsia" w:ascii="宋体" w:hAnsi="宋体" w:cs="宋体"/>
          <w:bCs/>
          <w:color w:val="auto"/>
          <w:kern w:val="0"/>
          <w:sz w:val="24"/>
          <w:szCs w:val="24"/>
          <w:lang w:eastAsia="zh-CN"/>
        </w:rPr>
        <w:t>、</w:t>
      </w:r>
      <w:r>
        <w:rPr>
          <w:rFonts w:hint="eastAsia" w:ascii="宋体" w:hAnsi="宋体" w:cs="宋体"/>
          <w:bCs/>
          <w:color w:val="auto"/>
          <w:kern w:val="0"/>
          <w:sz w:val="24"/>
          <w:szCs w:val="24"/>
        </w:rPr>
        <w:t>有效的。</w:t>
      </w:r>
    </w:p>
    <w:p>
      <w:pPr>
        <w:widowControl/>
        <w:spacing w:line="360" w:lineRule="auto"/>
        <w:ind w:firstLine="480"/>
        <w:rPr>
          <w:rFonts w:hint="eastAsia" w:ascii="宋体" w:hAnsi="宋体" w:cs="宋体"/>
          <w:bCs/>
          <w:color w:val="auto"/>
          <w:kern w:val="0"/>
          <w:sz w:val="24"/>
          <w:szCs w:val="24"/>
        </w:rPr>
      </w:pPr>
      <w:r>
        <w:rPr>
          <w:rFonts w:hint="eastAsia" w:ascii="宋体" w:hAnsi="宋体" w:cs="宋体"/>
          <w:bCs/>
          <w:color w:val="auto"/>
          <w:kern w:val="0"/>
          <w:sz w:val="24"/>
          <w:szCs w:val="24"/>
        </w:rPr>
        <w:t xml:space="preserve">4、为持续改进而策划的活动的进展 </w:t>
      </w:r>
    </w:p>
    <w:p>
      <w:pPr>
        <w:widowControl/>
        <w:spacing w:line="360" w:lineRule="auto"/>
        <w:ind w:firstLine="480" w:firstLineChars="200"/>
        <w:jc w:val="left"/>
        <w:rPr>
          <w:rFonts w:hint="eastAsia" w:ascii="宋体" w:hAnsi="宋体" w:cs="宋体"/>
          <w:bCs/>
          <w:color w:val="auto"/>
          <w:kern w:val="0"/>
          <w:sz w:val="24"/>
          <w:szCs w:val="24"/>
        </w:rPr>
      </w:pPr>
      <w:r>
        <w:rPr>
          <w:rFonts w:hint="eastAsia" w:ascii="宋体" w:hAnsi="宋体" w:cs="宋体"/>
          <w:bCs/>
          <w:color w:val="auto"/>
          <w:kern w:val="0"/>
          <w:sz w:val="24"/>
          <w:szCs w:val="24"/>
        </w:rPr>
        <w:t>企业</w:t>
      </w:r>
      <w:r>
        <w:rPr>
          <w:rFonts w:hint="eastAsia" w:ascii="宋体" w:hAnsi="宋体" w:cs="宋体"/>
          <w:bCs/>
          <w:color w:val="auto"/>
          <w:kern w:val="0"/>
          <w:sz w:val="24"/>
          <w:szCs w:val="24"/>
          <w:lang w:val="en-US" w:eastAsia="zh-CN"/>
        </w:rPr>
        <w:t>炭</w:t>
      </w:r>
      <w:r>
        <w:rPr>
          <w:rFonts w:hint="eastAsia" w:ascii="宋体" w:cs="宋体"/>
          <w:color w:val="auto"/>
          <w:kern w:val="0"/>
          <w:sz w:val="24"/>
          <w:szCs w:val="24"/>
        </w:rPr>
        <w:t>含量</w:t>
      </w:r>
      <w:r>
        <w:rPr>
          <w:rFonts w:hint="eastAsia" w:ascii="宋体" w:cs="宋体"/>
          <w:color w:val="auto"/>
          <w:kern w:val="0"/>
          <w:sz w:val="24"/>
          <w:szCs w:val="24"/>
          <w:lang w:val="en-US" w:eastAsia="zh-CN"/>
        </w:rPr>
        <w:t>分析</w:t>
      </w:r>
      <w:r>
        <w:rPr>
          <w:rFonts w:hint="eastAsia" w:ascii="宋体" w:hAnsi="宋体" w:cs="宋体"/>
          <w:bCs/>
          <w:color w:val="auto"/>
          <w:kern w:val="0"/>
          <w:sz w:val="24"/>
          <w:szCs w:val="24"/>
        </w:rPr>
        <w:t>测量过程为关键测量过程，测量过程识别、测量设备配备、检定、验证，测量过程有效性确认，测量不确定度评定、测量过程控制和监视满足要求。</w:t>
      </w:r>
    </w:p>
    <w:p>
      <w:pPr>
        <w:widowControl/>
        <w:spacing w:line="360" w:lineRule="auto"/>
        <w:jc w:val="left"/>
        <w:rPr>
          <w:rFonts w:hint="eastAsia" w:asciiTheme="majorEastAsia" w:hAnsiTheme="majorEastAsia" w:eastAsiaTheme="majorEastAsia" w:cstheme="majorEastAsia"/>
          <w:bCs/>
          <w:color w:val="auto"/>
          <w:sz w:val="24"/>
          <w:szCs w:val="24"/>
        </w:rPr>
      </w:pPr>
      <w:r>
        <w:rPr>
          <w:rFonts w:hint="eastAsia" w:ascii="宋体" w:hAnsi="宋体" w:cs="宋体"/>
          <w:bCs/>
          <w:color w:val="auto"/>
          <w:kern w:val="0"/>
          <w:sz w:val="24"/>
          <w:szCs w:val="24"/>
          <w:lang w:val="en-US" w:eastAsia="zh-CN"/>
        </w:rPr>
        <w:t>5、</w:t>
      </w:r>
      <w:r>
        <w:rPr>
          <w:rFonts w:hint="eastAsia" w:ascii="宋体" w:hAnsi="宋体" w:cs="宋体"/>
          <w:bCs/>
          <w:color w:val="auto"/>
          <w:kern w:val="0"/>
          <w:sz w:val="24"/>
          <w:szCs w:val="24"/>
        </w:rPr>
        <w:t>对上次审核中确定的不符合采取</w:t>
      </w:r>
      <w:r>
        <w:rPr>
          <w:rFonts w:hint="eastAsia" w:asciiTheme="majorEastAsia" w:hAnsiTheme="majorEastAsia" w:eastAsiaTheme="majorEastAsia" w:cstheme="majorEastAsia"/>
          <w:bCs/>
          <w:color w:val="auto"/>
          <w:sz w:val="24"/>
          <w:szCs w:val="24"/>
        </w:rPr>
        <w:t>措施的情况：</w:t>
      </w:r>
    </w:p>
    <w:p>
      <w:pPr>
        <w:widowControl/>
        <w:spacing w:line="360" w:lineRule="auto"/>
        <w:ind w:firstLine="480" w:firstLineChars="200"/>
        <w:rPr>
          <w:rFonts w:cs="宋体" w:asciiTheme="minorEastAsia" w:hAnsiTheme="minorEastAsia"/>
          <w:bCs/>
          <w:color w:val="auto"/>
          <w:kern w:val="0"/>
          <w:sz w:val="24"/>
          <w:szCs w:val="24"/>
        </w:rPr>
      </w:pPr>
      <w:r>
        <w:rPr>
          <w:rFonts w:hint="eastAsia" w:asciiTheme="majorEastAsia" w:hAnsiTheme="majorEastAsia" w:eastAsiaTheme="majorEastAsia" w:cstheme="majorEastAsia"/>
          <w:bCs/>
          <w:color w:val="auto"/>
          <w:sz w:val="24"/>
          <w:szCs w:val="24"/>
        </w:rPr>
        <w:t>去</w:t>
      </w:r>
      <w:r>
        <w:rPr>
          <w:rFonts w:hint="eastAsia" w:ascii="宋体" w:hAnsi="宋体" w:cs="宋体"/>
          <w:bCs/>
          <w:color w:val="auto"/>
          <w:kern w:val="0"/>
          <w:sz w:val="24"/>
          <w:szCs w:val="24"/>
        </w:rPr>
        <w:t>年</w:t>
      </w:r>
      <w:r>
        <w:rPr>
          <w:rFonts w:hint="eastAsia" w:ascii="宋体" w:hAnsi="宋体" w:cs="宋体"/>
          <w:bCs/>
          <w:color w:val="auto"/>
          <w:kern w:val="0"/>
          <w:sz w:val="24"/>
          <w:szCs w:val="24"/>
          <w:lang w:val="en-US" w:eastAsia="zh-CN"/>
        </w:rPr>
        <w:t>监督</w:t>
      </w:r>
      <w:r>
        <w:rPr>
          <w:rFonts w:hint="eastAsia" w:ascii="宋体" w:hAnsi="宋体" w:cs="宋体"/>
          <w:bCs/>
          <w:color w:val="auto"/>
          <w:kern w:val="0"/>
          <w:sz w:val="24"/>
          <w:szCs w:val="24"/>
        </w:rPr>
        <w:t>审核</w:t>
      </w:r>
      <w:r>
        <w:rPr>
          <w:rFonts w:hint="eastAsia" w:ascii="宋体" w:hAnsi="宋体" w:cs="宋体"/>
          <w:bCs/>
          <w:color w:val="auto"/>
          <w:kern w:val="0"/>
          <w:sz w:val="24"/>
          <w:szCs w:val="24"/>
          <w:lang w:val="en-US" w:eastAsia="zh-CN"/>
        </w:rPr>
        <w:t>未</w:t>
      </w:r>
      <w:r>
        <w:rPr>
          <w:rFonts w:hint="eastAsia" w:ascii="宋体" w:hAnsi="宋体" w:cs="宋体"/>
          <w:bCs/>
          <w:color w:val="auto"/>
          <w:kern w:val="0"/>
          <w:sz w:val="24"/>
          <w:szCs w:val="24"/>
        </w:rPr>
        <w:t>发现不符合项。</w:t>
      </w:r>
    </w:p>
    <w:p>
      <w:pPr>
        <w:widowControl/>
        <w:spacing w:line="360" w:lineRule="auto"/>
        <w:ind w:firstLine="480"/>
        <w:rPr>
          <w:rStyle w:val="10"/>
          <w:rFonts w:hint="eastAsia" w:ascii="宋体" w:eastAsia="宋体"/>
          <w:color w:val="auto"/>
          <w:sz w:val="24"/>
          <w:szCs w:val="24"/>
          <w:lang w:val="en-US" w:eastAsia="zh-CN"/>
        </w:rPr>
      </w:pPr>
      <w:r>
        <w:rPr>
          <w:rStyle w:val="10"/>
          <w:rFonts w:hint="eastAsia" w:ascii="宋体" w:eastAsia="宋体"/>
          <w:color w:val="auto"/>
          <w:sz w:val="24"/>
          <w:szCs w:val="24"/>
          <w:lang w:val="en-US" w:eastAsia="zh-CN"/>
        </w:rPr>
        <w:t>企业内部</w:t>
      </w:r>
      <w:r>
        <w:rPr>
          <w:rFonts w:hint="eastAsia"/>
          <w:color w:val="auto"/>
          <w:sz w:val="24"/>
          <w:szCs w:val="24"/>
        </w:rPr>
        <w:t>审核</w:t>
      </w:r>
      <w:r>
        <w:rPr>
          <w:rStyle w:val="10"/>
          <w:rFonts w:hint="eastAsia" w:ascii="宋体" w:eastAsia="宋体"/>
          <w:color w:val="auto"/>
          <w:sz w:val="24"/>
          <w:szCs w:val="24"/>
          <w:lang w:val="en-US" w:eastAsia="zh-CN"/>
        </w:rPr>
        <w:t>开出整改项18个，到目前为止整改项已全部完成整改。</w:t>
      </w:r>
    </w:p>
    <w:p>
      <w:pPr>
        <w:widowControl/>
        <w:spacing w:line="360" w:lineRule="auto"/>
        <w:rPr>
          <w:rFonts w:hint="eastAsia" w:cs="宋体" w:asciiTheme="minorEastAsia" w:hAnsiTheme="minorEastAsia"/>
          <w:color w:val="auto"/>
          <w:kern w:val="0"/>
          <w:sz w:val="24"/>
          <w:szCs w:val="24"/>
        </w:rPr>
      </w:pPr>
    </w:p>
    <w:p>
      <w:pPr>
        <w:widowControl/>
        <w:spacing w:line="360" w:lineRule="auto"/>
        <w:rPr>
          <w:rFonts w:hint="eastAsia" w:asciiTheme="majorEastAsia" w:hAnsiTheme="majorEastAsia" w:eastAsiaTheme="majorEastAsia" w:cstheme="majorEastAsia"/>
          <w:bCs/>
          <w:color w:val="auto"/>
          <w:sz w:val="24"/>
          <w:szCs w:val="24"/>
        </w:rPr>
      </w:pPr>
      <w:r>
        <w:rPr>
          <w:rFonts w:hint="eastAsia" w:cs="宋体" w:asciiTheme="minorEastAsia" w:hAnsiTheme="minorEastAsia"/>
          <w:color w:val="auto"/>
          <w:kern w:val="0"/>
          <w:sz w:val="24"/>
          <w:szCs w:val="24"/>
        </w:rPr>
        <w:t>6.对</w:t>
      </w:r>
      <w:r>
        <w:rPr>
          <w:rFonts w:hint="eastAsia" w:asciiTheme="minorEastAsia" w:hAnsiTheme="minorEastAsia"/>
          <w:bCs/>
          <w:color w:val="auto"/>
          <w:sz w:val="24"/>
          <w:szCs w:val="24"/>
        </w:rPr>
        <w:t>投诉的处理</w:t>
      </w:r>
      <w:r>
        <w:rPr>
          <w:rFonts w:cs="宋体" w:asciiTheme="minorEastAsia" w:hAnsiTheme="minorEastAsia"/>
          <w:bCs/>
          <w:color w:val="auto"/>
          <w:kern w:val="0"/>
          <w:sz w:val="24"/>
          <w:szCs w:val="24"/>
        </w:rPr>
        <w:t>情况：</w:t>
      </w:r>
    </w:p>
    <w:p>
      <w:pPr>
        <w:widowControl/>
        <w:spacing w:line="360" w:lineRule="auto"/>
        <w:rPr>
          <w:rFonts w:cs="宋体" w:asciiTheme="minorEastAsia" w:hAnsiTheme="minorEastAsia"/>
          <w:bCs/>
          <w:color w:val="auto"/>
          <w:kern w:val="0"/>
          <w:sz w:val="24"/>
          <w:szCs w:val="24"/>
        </w:rPr>
      </w:pPr>
      <w:r>
        <w:rPr>
          <w:rFonts w:hint="eastAsia" w:ascii="宋体" w:hAnsi="宋体"/>
          <w:color w:val="auto"/>
          <w:sz w:val="24"/>
          <w:szCs w:val="24"/>
        </w:rPr>
        <w:t xml:space="preserve">    公司目前尚未接到客户在产品质量、物料交接、能源、安全、现场管理等方面的投诉和纠纷。</w:t>
      </w:r>
    </w:p>
    <w:p>
      <w:pPr>
        <w:widowControl/>
        <w:spacing w:line="360" w:lineRule="auto"/>
        <w:rPr>
          <w:rFonts w:cs="宋体" w:asciiTheme="minorEastAsia" w:hAnsiTheme="minorEastAsia"/>
          <w:bCs/>
          <w:color w:val="auto"/>
          <w:kern w:val="0"/>
          <w:sz w:val="24"/>
          <w:szCs w:val="24"/>
        </w:rPr>
      </w:pPr>
      <w:r>
        <w:rPr>
          <w:rFonts w:hint="eastAsia" w:asciiTheme="minorEastAsia" w:hAnsiTheme="minorEastAsia"/>
          <w:bCs/>
          <w:color w:val="auto"/>
          <w:sz w:val="24"/>
          <w:szCs w:val="24"/>
        </w:rPr>
        <w:t>7.管理体系在实现获证客户目标方面的有效性及持续的运作控制</w:t>
      </w:r>
      <w:r>
        <w:rPr>
          <w:rFonts w:cs="宋体" w:asciiTheme="minorEastAsia" w:hAnsiTheme="minorEastAsia"/>
          <w:bCs/>
          <w:color w:val="auto"/>
          <w:kern w:val="0"/>
          <w:sz w:val="24"/>
          <w:szCs w:val="24"/>
        </w:rPr>
        <w:t>情况：</w:t>
      </w:r>
    </w:p>
    <w:p>
      <w:pPr>
        <w:widowControl/>
        <w:spacing w:line="360" w:lineRule="auto"/>
        <w:rPr>
          <w:rFonts w:cs="宋体" w:asciiTheme="minorEastAsia" w:hAnsiTheme="minorEastAsia"/>
          <w:bCs/>
          <w:color w:val="auto"/>
          <w:kern w:val="0"/>
          <w:sz w:val="24"/>
          <w:szCs w:val="24"/>
        </w:rPr>
      </w:pPr>
      <w:r>
        <w:rPr>
          <w:rFonts w:hint="eastAsia" w:ascii="宋体" w:hAnsi="宋体"/>
          <w:bCs/>
          <w:color w:val="auto"/>
          <w:sz w:val="24"/>
          <w:szCs w:val="24"/>
        </w:rPr>
        <w:t xml:space="preserve">   </w:t>
      </w:r>
      <w:r>
        <w:rPr>
          <w:rFonts w:hint="eastAsia" w:ascii="宋体" w:hAnsi="宋体"/>
          <w:bCs/>
          <w:color w:val="auto"/>
          <w:sz w:val="24"/>
          <w:szCs w:val="24"/>
          <w:lang w:val="en-US" w:eastAsia="zh-CN"/>
        </w:rPr>
        <w:t xml:space="preserve"> 公司制定了6项测量体系质量目标，</w:t>
      </w:r>
      <w:r>
        <w:rPr>
          <w:rFonts w:hint="eastAsia" w:ascii="宋体" w:hAnsi="宋体"/>
          <w:bCs/>
          <w:color w:val="auto"/>
          <w:sz w:val="24"/>
          <w:szCs w:val="24"/>
        </w:rPr>
        <w:t>有具体指标可测量</w:t>
      </w:r>
      <w:r>
        <w:rPr>
          <w:rFonts w:hint="eastAsia" w:ascii="宋体" w:hAnsi="宋体"/>
          <w:bCs/>
          <w:color w:val="auto"/>
          <w:sz w:val="24"/>
          <w:szCs w:val="24"/>
          <w:lang w:eastAsia="zh-CN"/>
        </w:rPr>
        <w:t>，</w:t>
      </w:r>
      <w:r>
        <w:rPr>
          <w:rFonts w:hint="eastAsia" w:ascii="宋体" w:hAnsi="宋体"/>
          <w:bCs/>
          <w:color w:val="auto"/>
          <w:sz w:val="24"/>
          <w:szCs w:val="24"/>
          <w:lang w:val="en-US" w:eastAsia="zh-CN"/>
        </w:rPr>
        <w:t>查：2020年公司级工作方针及目标展开图，，质量目标</w:t>
      </w:r>
      <w:r>
        <w:rPr>
          <w:rFonts w:hint="eastAsia" w:ascii="宋体" w:hAnsi="宋体"/>
          <w:bCs/>
          <w:color w:val="auto"/>
          <w:sz w:val="24"/>
          <w:szCs w:val="24"/>
          <w:lang w:eastAsia="zh-CN"/>
        </w:rPr>
        <w:t>在相关部门进行了分解，</w:t>
      </w:r>
      <w:r>
        <w:rPr>
          <w:rFonts w:hint="eastAsia" w:ascii="宋体" w:hAnsi="宋体"/>
          <w:bCs/>
          <w:color w:val="auto"/>
          <w:sz w:val="24"/>
          <w:szCs w:val="24"/>
          <w:lang w:val="en-US" w:eastAsia="zh-CN"/>
        </w:rPr>
        <w:t>每月统计考核2020年1-4月份目标已完成。</w:t>
      </w:r>
      <w:r>
        <w:rPr>
          <w:rFonts w:hint="eastAsia" w:ascii="宋体" w:hAnsi="宋体"/>
          <w:bCs/>
          <w:color w:val="auto"/>
          <w:sz w:val="24"/>
          <w:szCs w:val="24"/>
        </w:rPr>
        <w:t>进一步满足顾客、质量、服务等方面的要求，</w:t>
      </w:r>
      <w:r>
        <w:rPr>
          <w:rFonts w:hint="eastAsia" w:ascii="宋体" w:hAnsi="宋体"/>
          <w:color w:val="auto"/>
          <w:sz w:val="24"/>
          <w:szCs w:val="24"/>
        </w:rPr>
        <w:t>符合GB/T 19022-2003标准要求。</w:t>
      </w:r>
      <w:r>
        <w:rPr>
          <w:rFonts w:hint="eastAsia" w:ascii="宋体" w:hAnsi="宋体"/>
          <w:bCs/>
          <w:color w:val="auto"/>
          <w:sz w:val="24"/>
          <w:szCs w:val="24"/>
        </w:rPr>
        <w:t>使其更具有动态性和适应性、</w:t>
      </w:r>
      <w:r>
        <w:rPr>
          <w:rFonts w:hint="eastAsia" w:asciiTheme="minorEastAsia" w:hAnsiTheme="minorEastAsia"/>
          <w:bCs/>
          <w:color w:val="auto"/>
          <w:sz w:val="24"/>
          <w:szCs w:val="24"/>
        </w:rPr>
        <w:t>有效性及对持续运作的控制。</w:t>
      </w:r>
    </w:p>
    <w:p>
      <w:pPr>
        <w:widowControl/>
        <w:numPr>
          <w:ilvl w:val="0"/>
          <w:numId w:val="1"/>
        </w:numPr>
        <w:spacing w:line="360" w:lineRule="auto"/>
        <w:rPr>
          <w:rFonts w:asciiTheme="minorEastAsia" w:hAnsiTheme="minorEastAsia"/>
          <w:bCs/>
          <w:color w:val="auto"/>
          <w:sz w:val="24"/>
          <w:szCs w:val="24"/>
        </w:rPr>
      </w:pPr>
      <w:r>
        <w:rPr>
          <w:rFonts w:hint="eastAsia" w:asciiTheme="minorEastAsia" w:hAnsiTheme="minorEastAsia"/>
          <w:bCs/>
          <w:color w:val="auto"/>
          <w:sz w:val="24"/>
          <w:szCs w:val="24"/>
        </w:rPr>
        <w:t>对组织任何变更的审核：</w:t>
      </w:r>
    </w:p>
    <w:p>
      <w:pPr>
        <w:widowControl/>
        <w:spacing w:line="360" w:lineRule="auto"/>
        <w:ind w:firstLine="480" w:firstLineChars="200"/>
        <w:rPr>
          <w:rFonts w:hint="default" w:ascii="宋体" w:hAnsi="宋体" w:cs="宋体" w:eastAsiaTheme="minorEastAsia"/>
          <w:bCs/>
          <w:color w:val="auto"/>
          <w:kern w:val="0"/>
          <w:sz w:val="24"/>
          <w:szCs w:val="24"/>
          <w:lang w:val="en-US" w:eastAsia="zh-CN"/>
        </w:rPr>
      </w:pPr>
      <w:r>
        <w:rPr>
          <w:rFonts w:hint="eastAsia" w:ascii="宋体" w:hAnsi="宋体" w:cs="宋体"/>
          <w:bCs/>
          <w:color w:val="auto"/>
          <w:kern w:val="0"/>
          <w:sz w:val="24"/>
          <w:szCs w:val="24"/>
        </w:rPr>
        <w:t>企业组织机构</w:t>
      </w:r>
      <w:r>
        <w:rPr>
          <w:rFonts w:hint="eastAsia" w:ascii="宋体" w:hAnsi="宋体" w:cs="宋体"/>
          <w:bCs/>
          <w:color w:val="auto"/>
          <w:kern w:val="0"/>
          <w:sz w:val="24"/>
          <w:szCs w:val="24"/>
          <w:lang w:val="en-US" w:eastAsia="zh-CN"/>
        </w:rPr>
        <w:t>已进行了调整、变更。取消生产制造处，设立生产安全处，新增技术质量处和设备能源环保处。职能进行了相应的调整。具体见组织机构图。</w:t>
      </w:r>
      <w:r>
        <w:rPr>
          <w:rFonts w:hint="eastAsia" w:ascii="宋体" w:hAnsi="宋体" w:cs="宋体"/>
          <w:bCs/>
          <w:color w:val="auto"/>
          <w:kern w:val="0"/>
          <w:sz w:val="24"/>
          <w:szCs w:val="24"/>
        </w:rPr>
        <w:t>企业营业执照没有变化。</w:t>
      </w:r>
      <w:r>
        <w:rPr>
          <w:rFonts w:hint="eastAsia" w:ascii="宋体" w:hAnsi="宋体" w:cs="宋体"/>
          <w:bCs/>
          <w:color w:val="auto"/>
          <w:kern w:val="0"/>
          <w:sz w:val="24"/>
          <w:szCs w:val="24"/>
          <w:lang w:val="en-US" w:eastAsia="zh-CN"/>
        </w:rPr>
        <w:t>测量管理体系手册和程序文件于2019年5月20 重新发布，见发布令。</w:t>
      </w:r>
    </w:p>
    <w:p>
      <w:pPr>
        <w:widowControl/>
        <w:spacing w:line="360" w:lineRule="auto"/>
        <w:ind w:firstLine="480" w:firstLineChars="200"/>
        <w:rPr>
          <w:rFonts w:cs="宋体" w:asciiTheme="minorEastAsia" w:hAnsiTheme="minorEastAsia"/>
          <w:bCs/>
          <w:color w:val="auto"/>
          <w:kern w:val="0"/>
          <w:sz w:val="24"/>
          <w:szCs w:val="24"/>
        </w:rPr>
      </w:pPr>
      <w:r>
        <w:rPr>
          <w:rFonts w:hint="eastAsia" w:asciiTheme="minorEastAsia" w:hAnsiTheme="minorEastAsia"/>
          <w:bCs/>
          <w:color w:val="auto"/>
          <w:sz w:val="24"/>
          <w:szCs w:val="24"/>
        </w:rPr>
        <w:t>9.标志的使用和（或）任何其他对认证资</w:t>
      </w:r>
      <w:r>
        <w:rPr>
          <w:rFonts w:hint="eastAsia"/>
          <w:bCs/>
          <w:color w:val="auto"/>
          <w:sz w:val="24"/>
          <w:szCs w:val="24"/>
        </w:rPr>
        <w:t>格引用符合</w:t>
      </w:r>
      <w:r>
        <w:rPr>
          <w:rFonts w:cs="宋体" w:asciiTheme="minorEastAsia" w:hAnsiTheme="minorEastAsia"/>
          <w:bCs/>
          <w:color w:val="auto"/>
          <w:kern w:val="0"/>
          <w:sz w:val="24"/>
          <w:szCs w:val="24"/>
        </w:rPr>
        <w:t>的情况：</w:t>
      </w:r>
    </w:p>
    <w:p>
      <w:pPr>
        <w:widowControl/>
        <w:spacing w:line="360" w:lineRule="auto"/>
        <w:ind w:firstLine="480" w:firstLineChars="200"/>
        <w:rPr>
          <w:rFonts w:ascii="宋体" w:hAnsi="宋体"/>
          <w:bCs/>
          <w:color w:val="auto"/>
          <w:sz w:val="24"/>
          <w:szCs w:val="24"/>
        </w:rPr>
      </w:pPr>
      <w:r>
        <w:rPr>
          <w:rFonts w:hint="eastAsia" w:cs="宋体" w:asciiTheme="minorEastAsia" w:hAnsiTheme="minorEastAsia"/>
          <w:bCs/>
          <w:color w:val="auto"/>
          <w:kern w:val="0"/>
          <w:sz w:val="24"/>
          <w:szCs w:val="24"/>
        </w:rPr>
        <w:t>公司对</w:t>
      </w:r>
      <w:r>
        <w:rPr>
          <w:rFonts w:hint="eastAsia" w:asciiTheme="minorEastAsia" w:hAnsiTheme="minorEastAsia"/>
          <w:bCs/>
          <w:color w:val="auto"/>
          <w:sz w:val="24"/>
          <w:szCs w:val="24"/>
        </w:rPr>
        <w:t>标志的使用，</w:t>
      </w:r>
      <w:r>
        <w:rPr>
          <w:rFonts w:hint="eastAsia"/>
          <w:bCs/>
          <w:color w:val="auto"/>
          <w:sz w:val="24"/>
          <w:szCs w:val="24"/>
        </w:rPr>
        <w:t>符合相关标准和规定。公司测量</w:t>
      </w:r>
      <w:r>
        <w:rPr>
          <w:rFonts w:hint="eastAsia" w:ascii="宋体" w:hAnsi="宋体"/>
          <w:bCs/>
          <w:color w:val="auto"/>
          <w:sz w:val="24"/>
          <w:szCs w:val="24"/>
        </w:rPr>
        <w:t>管理体系认证证书用于：招投标和企业形象宣传。</w:t>
      </w:r>
    </w:p>
    <w:p>
      <w:pPr>
        <w:snapToGrid w:val="0"/>
        <w:spacing w:line="360" w:lineRule="auto"/>
        <w:ind w:right="-512" w:rightChars="-244"/>
        <w:rPr>
          <w:rFonts w:ascii="宋体" w:hAnsi="宋体"/>
          <w:color w:val="auto"/>
          <w:sz w:val="24"/>
          <w:szCs w:val="24"/>
        </w:rPr>
      </w:pPr>
      <w:r>
        <w:rPr>
          <w:rFonts w:hint="eastAsia" w:asciiTheme="minorEastAsia" w:hAnsiTheme="minorEastAsia"/>
          <w:bCs/>
          <w:color w:val="auto"/>
          <w:sz w:val="24"/>
          <w:szCs w:val="24"/>
        </w:rPr>
        <w:t>10.</w:t>
      </w:r>
      <w:r>
        <w:rPr>
          <w:rFonts w:hint="eastAsia" w:ascii="宋体" w:hAnsi="宋体"/>
          <w:color w:val="auto"/>
          <w:sz w:val="24"/>
          <w:szCs w:val="24"/>
        </w:rPr>
        <w:t>本次审核未</w:t>
      </w:r>
      <w:r>
        <w:rPr>
          <w:rFonts w:hint="eastAsia" w:ascii="宋体" w:hAnsi="宋体"/>
          <w:color w:val="auto"/>
          <w:sz w:val="24"/>
          <w:szCs w:val="24"/>
          <w:lang w:val="en-US" w:eastAsia="zh-CN"/>
        </w:rPr>
        <w:t>发现一</w:t>
      </w:r>
      <w:r>
        <w:rPr>
          <w:rFonts w:hint="eastAsia" w:ascii="宋体" w:hAnsi="宋体"/>
          <w:color w:val="auto"/>
          <w:sz w:val="24"/>
          <w:szCs w:val="24"/>
        </w:rPr>
        <w:t>般不符合项 ，未发现严重或系统性的不符合情况。</w:t>
      </w:r>
    </w:p>
    <w:p>
      <w:pPr>
        <w:widowControl/>
        <w:spacing w:line="360" w:lineRule="auto"/>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三、</w:t>
      </w:r>
      <w:r>
        <w:rPr>
          <w:rFonts w:ascii="宋体" w:hAnsi="宋体" w:eastAsia="宋体" w:cs="宋体"/>
          <w:b/>
          <w:bCs/>
          <w:color w:val="auto"/>
          <w:kern w:val="0"/>
          <w:sz w:val="24"/>
          <w:szCs w:val="24"/>
        </w:rPr>
        <w:t>监督审核结</w:t>
      </w:r>
      <w:r>
        <w:rPr>
          <w:rFonts w:hint="eastAsia" w:ascii="宋体" w:hAnsi="宋体" w:eastAsia="宋体" w:cs="宋体"/>
          <w:b/>
          <w:bCs/>
          <w:color w:val="auto"/>
          <w:kern w:val="0"/>
          <w:sz w:val="24"/>
          <w:szCs w:val="24"/>
          <w:lang w:val="en-US" w:eastAsia="zh-CN"/>
        </w:rPr>
        <w:t>论意</w:t>
      </w:r>
      <w:r>
        <w:rPr>
          <w:rFonts w:ascii="宋体" w:hAnsi="宋体" w:eastAsia="宋体" w:cs="宋体"/>
          <w:b/>
          <w:bCs/>
          <w:color w:val="auto"/>
          <w:kern w:val="0"/>
          <w:sz w:val="24"/>
          <w:szCs w:val="24"/>
        </w:rPr>
        <w:t>见</w:t>
      </w:r>
      <w:r>
        <w:rPr>
          <w:rFonts w:ascii="宋体" w:hAnsi="宋体" w:eastAsia="宋体" w:cs="宋体"/>
          <w:bCs/>
          <w:color w:val="auto"/>
          <w:kern w:val="0"/>
          <w:sz w:val="24"/>
          <w:szCs w:val="24"/>
        </w:rPr>
        <w:t>(</w:t>
      </w:r>
      <w:r>
        <w:rPr>
          <w:rFonts w:ascii="宋体" w:hAnsi="宋体" w:eastAsia="宋体" w:cs="宋体"/>
          <w:color w:val="auto"/>
          <w:kern w:val="0"/>
          <w:sz w:val="24"/>
          <w:szCs w:val="24"/>
        </w:rPr>
        <w:t>含需要说明的事项):</w:t>
      </w:r>
    </w:p>
    <w:p>
      <w:pPr>
        <w:snapToGrid w:val="0"/>
        <w:spacing w:line="400" w:lineRule="exact"/>
        <w:ind w:right="-512" w:rightChars="-244" w:firstLine="480"/>
        <w:rPr>
          <w:rFonts w:asciiTheme="majorEastAsia" w:hAnsiTheme="majorEastAsia" w:eastAsiaTheme="majorEastAsia" w:cstheme="majorEastAsia"/>
          <w:color w:val="auto"/>
          <w:sz w:val="24"/>
          <w:szCs w:val="24"/>
        </w:rPr>
      </w:pPr>
      <w:r>
        <w:rPr>
          <w:rStyle w:val="12"/>
          <w:rFonts w:hint="eastAsia" w:asciiTheme="majorEastAsia" w:hAnsiTheme="majorEastAsia" w:eastAsiaTheme="majorEastAsia" w:cstheme="majorEastAsia"/>
          <w:color w:val="auto"/>
          <w:sz w:val="24"/>
          <w:szCs w:val="24"/>
        </w:rPr>
        <w:t>通过20</w:t>
      </w:r>
      <w:r>
        <w:rPr>
          <w:rStyle w:val="12"/>
          <w:rFonts w:hint="eastAsia" w:asciiTheme="majorEastAsia" w:hAnsiTheme="majorEastAsia" w:eastAsiaTheme="majorEastAsia" w:cstheme="majorEastAsia"/>
          <w:color w:val="auto"/>
          <w:sz w:val="24"/>
          <w:szCs w:val="24"/>
          <w:lang w:val="en-US" w:eastAsia="zh-CN"/>
        </w:rPr>
        <w:t>20</w:t>
      </w:r>
      <w:r>
        <w:rPr>
          <w:rStyle w:val="12"/>
          <w:rFonts w:hint="eastAsia" w:asciiTheme="majorEastAsia" w:hAnsiTheme="majorEastAsia" w:eastAsiaTheme="majorEastAsia" w:cstheme="majorEastAsia"/>
          <w:color w:val="auto"/>
          <w:sz w:val="24"/>
          <w:szCs w:val="24"/>
        </w:rPr>
        <w:t>年</w:t>
      </w:r>
      <w:r>
        <w:rPr>
          <w:rStyle w:val="12"/>
          <w:rFonts w:hint="eastAsia" w:asciiTheme="majorEastAsia" w:hAnsiTheme="majorEastAsia" w:eastAsiaTheme="majorEastAsia" w:cstheme="majorEastAsia"/>
          <w:color w:val="auto"/>
          <w:sz w:val="24"/>
          <w:szCs w:val="24"/>
          <w:lang w:val="en-US" w:eastAsia="zh-CN"/>
        </w:rPr>
        <w:t>6</w:t>
      </w:r>
      <w:r>
        <w:rPr>
          <w:rStyle w:val="12"/>
          <w:rFonts w:hint="eastAsia" w:asciiTheme="majorEastAsia" w:hAnsiTheme="majorEastAsia" w:eastAsiaTheme="majorEastAsia" w:cstheme="majorEastAsia"/>
          <w:color w:val="auto"/>
          <w:sz w:val="24"/>
          <w:szCs w:val="24"/>
        </w:rPr>
        <w:t>月</w:t>
      </w:r>
      <w:r>
        <w:rPr>
          <w:rStyle w:val="12"/>
          <w:rFonts w:hint="eastAsia" w:asciiTheme="majorEastAsia" w:hAnsiTheme="majorEastAsia" w:eastAsiaTheme="majorEastAsia" w:cstheme="majorEastAsia"/>
          <w:color w:val="auto"/>
          <w:sz w:val="24"/>
          <w:szCs w:val="24"/>
          <w:lang w:val="en-US" w:eastAsia="zh-CN"/>
        </w:rPr>
        <w:t>3</w:t>
      </w:r>
      <w:r>
        <w:rPr>
          <w:rStyle w:val="12"/>
          <w:rFonts w:hint="eastAsia" w:asciiTheme="majorEastAsia" w:hAnsiTheme="majorEastAsia" w:eastAsiaTheme="majorEastAsia" w:cstheme="majorEastAsia"/>
          <w:color w:val="auto"/>
          <w:sz w:val="24"/>
          <w:szCs w:val="24"/>
        </w:rPr>
        <w:t>日，对</w:t>
      </w:r>
      <w:r>
        <w:rPr>
          <w:rFonts w:hint="eastAsia" w:ascii="宋体" w:hAnsi="宋体"/>
          <w:color w:val="auto"/>
          <w:sz w:val="24"/>
          <w:szCs w:val="24"/>
        </w:rPr>
        <w:t>沙钢集团安阳永兴</w:t>
      </w:r>
      <w:r>
        <w:rPr>
          <w:rFonts w:hint="eastAsia" w:ascii="宋体" w:hAnsi="宋体"/>
          <w:color w:val="auto"/>
          <w:sz w:val="24"/>
          <w:szCs w:val="24"/>
          <w:lang w:val="en-US" w:eastAsia="zh-CN"/>
        </w:rPr>
        <w:t>特</w:t>
      </w:r>
      <w:r>
        <w:rPr>
          <w:rFonts w:hint="eastAsia" w:ascii="宋体" w:hAnsi="宋体"/>
          <w:color w:val="auto"/>
          <w:sz w:val="24"/>
          <w:szCs w:val="24"/>
        </w:rPr>
        <w:t>钢有限公司</w:t>
      </w:r>
      <w:r>
        <w:rPr>
          <w:rStyle w:val="12"/>
          <w:rFonts w:hint="eastAsia" w:asciiTheme="majorEastAsia" w:hAnsiTheme="majorEastAsia" w:eastAsiaTheme="majorEastAsia" w:cstheme="majorEastAsia"/>
          <w:color w:val="auto"/>
          <w:sz w:val="24"/>
          <w:szCs w:val="24"/>
        </w:rPr>
        <w:t>测量管理现场监督审核</w:t>
      </w:r>
      <w:r>
        <w:rPr>
          <w:rFonts w:hint="eastAsia" w:asciiTheme="majorEastAsia" w:hAnsiTheme="majorEastAsia" w:eastAsiaTheme="majorEastAsia" w:cstheme="majorEastAsia"/>
          <w:bCs/>
          <w:color w:val="auto"/>
          <w:sz w:val="24"/>
          <w:szCs w:val="24"/>
        </w:rPr>
        <w:t>.验证了贵公司测量管理体系</w:t>
      </w:r>
      <w:r>
        <w:rPr>
          <w:rFonts w:hint="eastAsia" w:asciiTheme="majorEastAsia" w:hAnsiTheme="majorEastAsia" w:eastAsiaTheme="majorEastAsia" w:cstheme="majorEastAsia"/>
          <w:bCs/>
          <w:color w:val="auto"/>
          <w:sz w:val="24"/>
          <w:szCs w:val="24"/>
          <w:lang w:val="en-US" w:eastAsia="zh-CN"/>
        </w:rPr>
        <w:t>在去年监督审核</w:t>
      </w:r>
      <w:r>
        <w:rPr>
          <w:rFonts w:hint="eastAsia" w:asciiTheme="majorEastAsia" w:hAnsiTheme="majorEastAsia" w:eastAsiaTheme="majorEastAsia" w:cstheme="majorEastAsia"/>
          <w:bCs/>
          <w:color w:val="auto"/>
          <w:sz w:val="24"/>
          <w:szCs w:val="24"/>
        </w:rPr>
        <w:t>后</w:t>
      </w:r>
      <w:r>
        <w:rPr>
          <w:rFonts w:hint="eastAsia" w:asciiTheme="majorEastAsia" w:hAnsiTheme="majorEastAsia" w:eastAsiaTheme="majorEastAsia" w:cstheme="majorEastAsia"/>
          <w:bCs/>
          <w:color w:val="auto"/>
          <w:sz w:val="24"/>
          <w:szCs w:val="24"/>
          <w:lang w:val="en-US" w:eastAsia="zh-CN"/>
        </w:rPr>
        <w:t>1</w:t>
      </w:r>
      <w:r>
        <w:rPr>
          <w:rFonts w:hint="eastAsia" w:asciiTheme="majorEastAsia" w:hAnsiTheme="majorEastAsia" w:eastAsiaTheme="majorEastAsia" w:cstheme="majorEastAsia"/>
          <w:bCs/>
          <w:color w:val="auto"/>
          <w:sz w:val="24"/>
          <w:szCs w:val="24"/>
        </w:rPr>
        <w:t>年内，</w:t>
      </w:r>
      <w:r>
        <w:rPr>
          <w:rFonts w:hint="eastAsia" w:asciiTheme="majorEastAsia" w:hAnsiTheme="majorEastAsia" w:eastAsiaTheme="majorEastAsia" w:cstheme="majorEastAsia"/>
          <w:color w:val="auto"/>
          <w:sz w:val="24"/>
          <w:szCs w:val="24"/>
        </w:rPr>
        <w:t>公司领导重视体系运行和管理，体系文件得到有效实施，关键测量过程受控、监视方法正确有效，重要测量人员能力受控，测量设备、测量环境、测量软件、测量记录及外部供方管理等各项工作，比上一年度更加完善和规范，使公司测量体系持续满足顾客的测量要求。综上所述，审核组认为</w:t>
      </w:r>
      <w:r>
        <w:rPr>
          <w:rFonts w:hint="eastAsia" w:ascii="宋体" w:hAnsi="宋体"/>
          <w:color w:val="auto"/>
          <w:sz w:val="24"/>
          <w:szCs w:val="24"/>
        </w:rPr>
        <w:t>沙钢集团安阳永兴</w:t>
      </w:r>
      <w:r>
        <w:rPr>
          <w:rFonts w:hint="eastAsia" w:ascii="宋体" w:hAnsi="宋体"/>
          <w:color w:val="auto"/>
          <w:sz w:val="24"/>
          <w:szCs w:val="24"/>
          <w:lang w:val="en-US" w:eastAsia="zh-CN"/>
        </w:rPr>
        <w:t>特</w:t>
      </w:r>
      <w:r>
        <w:rPr>
          <w:rFonts w:hint="eastAsia" w:ascii="宋体" w:hAnsi="宋体"/>
          <w:color w:val="auto"/>
          <w:sz w:val="24"/>
          <w:szCs w:val="24"/>
        </w:rPr>
        <w:t>钢有限公司</w:t>
      </w:r>
      <w:r>
        <w:rPr>
          <w:rFonts w:hint="eastAsia" w:asciiTheme="majorEastAsia" w:hAnsiTheme="majorEastAsia" w:eastAsiaTheme="majorEastAsia" w:cstheme="majorEastAsia"/>
          <w:color w:val="auto"/>
          <w:sz w:val="24"/>
          <w:szCs w:val="24"/>
        </w:rPr>
        <w:t>测量管理体系，符合GB/T 19022-2003标准要求，对体系运行具有持续的有效性、符合性予以肯定。建议报请国标联合认证有限公司批准通过监督审核。</w:t>
      </w:r>
    </w:p>
    <w:p>
      <w:pPr>
        <w:snapToGrid w:val="0"/>
        <w:spacing w:line="400" w:lineRule="exact"/>
        <w:ind w:right="-512" w:rightChars="-244" w:firstLine="480"/>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rPr>
        <w:t>另为了促进支持企业测量管理体系持续提高，建议企业做好测量设备</w:t>
      </w:r>
      <w:r>
        <w:rPr>
          <w:rFonts w:hint="eastAsia" w:ascii="宋体" w:hAnsi="宋体" w:eastAsia="宋体" w:cs="Times New Roman"/>
          <w:color w:val="auto"/>
          <w:sz w:val="24"/>
          <w:szCs w:val="24"/>
          <w:lang w:val="en-US" w:eastAsia="zh-CN"/>
        </w:rPr>
        <w:t>管理和</w:t>
      </w:r>
      <w:r>
        <w:rPr>
          <w:rFonts w:hint="eastAsia" w:ascii="宋体" w:hAnsi="宋体" w:eastAsia="宋体" w:cs="Times New Roman"/>
          <w:color w:val="auto"/>
          <w:sz w:val="24"/>
          <w:szCs w:val="24"/>
        </w:rPr>
        <w:t>使用维护管理，确保测量设备满足使用要求。</w:t>
      </w:r>
      <w:r>
        <w:rPr>
          <w:rFonts w:hint="eastAsia" w:ascii="宋体" w:hAnsi="宋体" w:eastAsia="宋体" w:cs="Times New Roman"/>
          <w:color w:val="auto"/>
          <w:sz w:val="24"/>
          <w:szCs w:val="24"/>
          <w:lang w:val="en-US" w:eastAsia="zh-CN"/>
        </w:rPr>
        <w:t>加强体系主管人员培训。</w:t>
      </w:r>
    </w:p>
    <w:p>
      <w:pPr>
        <w:snapToGrid w:val="0"/>
        <w:spacing w:line="400" w:lineRule="exact"/>
        <w:ind w:right="-512" w:rightChars="-244" w:firstLine="480"/>
        <w:rPr>
          <w:rFonts w:ascii="宋体" w:hAnsi="宋体" w:eastAsia="宋体" w:cs="Times New Roman"/>
          <w:color w:val="auto"/>
          <w:sz w:val="24"/>
          <w:szCs w:val="24"/>
        </w:rPr>
      </w:pPr>
    </w:p>
    <w:p>
      <w:pPr>
        <w:widowControl/>
        <w:numPr>
          <w:ilvl w:val="0"/>
          <w:numId w:val="2"/>
        </w:numPr>
        <w:spacing w:line="360" w:lineRule="auto"/>
        <w:jc w:val="left"/>
        <w:rPr>
          <w:rFonts w:asciiTheme="majorEastAsia" w:hAnsiTheme="majorEastAsia" w:eastAsiaTheme="majorEastAsia" w:cstheme="majorEastAsia"/>
          <w:color w:val="auto"/>
          <w:sz w:val="24"/>
          <w:szCs w:val="24"/>
        </w:rPr>
      </w:pPr>
      <w:r>
        <w:rPr>
          <w:rFonts w:ascii="宋体" w:hAnsi="宋体" w:cs="宋体"/>
          <w:color w:val="auto"/>
          <w:kern w:val="0"/>
          <w:sz w:val="24"/>
          <w:szCs w:val="24"/>
        </w:rPr>
        <w:t>其他需要说明的事项</w:t>
      </w:r>
      <w:r>
        <w:rPr>
          <w:rFonts w:hint="eastAsia" w:ascii="宋体" w:hAnsi="宋体" w:cs="宋体"/>
          <w:color w:val="auto"/>
          <w:kern w:val="0"/>
          <w:sz w:val="24"/>
          <w:szCs w:val="24"/>
        </w:rPr>
        <w:t>:</w:t>
      </w:r>
    </w:p>
    <w:p>
      <w:pPr>
        <w:widowControl/>
        <w:spacing w:line="360" w:lineRule="auto"/>
        <w:jc w:val="left"/>
        <w:rPr>
          <w:rFonts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hint="eastAsia" w:asciiTheme="majorEastAsia" w:hAnsiTheme="majorEastAsia" w:eastAsiaTheme="majorEastAsia" w:cstheme="majorEastAsia"/>
          <w:color w:val="auto"/>
          <w:sz w:val="24"/>
          <w:szCs w:val="24"/>
        </w:rPr>
      </w:pPr>
    </w:p>
    <w:p>
      <w:pPr>
        <w:widowControl/>
        <w:spacing w:line="360" w:lineRule="auto"/>
        <w:jc w:val="left"/>
        <w:rPr>
          <w:rFonts w:asciiTheme="majorEastAsia" w:hAnsiTheme="majorEastAsia" w:eastAsiaTheme="majorEastAsia" w:cstheme="majorEastAsia"/>
          <w:sz w:val="24"/>
          <w:szCs w:val="24"/>
        </w:rPr>
      </w:pPr>
      <w:bookmarkStart w:id="1" w:name="_GoBack"/>
      <w:bookmarkEnd w:id="1"/>
      <w:r>
        <w:rPr>
          <w:rFonts w:hint="eastAsia" w:asciiTheme="majorEastAsia" w:hAnsiTheme="majorEastAsia" w:eastAsiaTheme="majorEastAsia" w:cstheme="majorEastAsia"/>
          <w:color w:val="auto"/>
          <w:sz w:val="24"/>
          <w:szCs w:val="24"/>
        </w:rPr>
        <w:t xml:space="preserve">12. 审核组组长（签字）：                     </w:t>
      </w:r>
      <w:r>
        <w:rPr>
          <w:rFonts w:hint="eastAsia" w:asciiTheme="majorEastAsia" w:hAnsiTheme="majorEastAsia" w:eastAsiaTheme="majorEastAsia" w:cstheme="majorEastAsia"/>
          <w:sz w:val="24"/>
          <w:szCs w:val="24"/>
        </w:rPr>
        <w:t xml:space="preserve">           日期：</w:t>
      </w:r>
    </w:p>
    <w:p>
      <w:pPr>
        <w:snapToGrid w:val="0"/>
        <w:spacing w:line="400" w:lineRule="exact"/>
        <w:ind w:right="-512" w:rightChars="-244" w:firstLine="480"/>
        <w:rPr>
          <w:rFonts w:asciiTheme="majorEastAsia" w:hAnsiTheme="majorEastAsia" w:eastAsiaTheme="majorEastAsia" w:cstheme="majorEastAsia"/>
          <w:sz w:val="24"/>
          <w:szCs w:val="24"/>
        </w:rPr>
      </w:pPr>
    </w:p>
    <w:p>
      <w:pPr>
        <w:snapToGrid w:val="0"/>
        <w:spacing w:line="400" w:lineRule="exact"/>
        <w:ind w:right="-512" w:rightChars="-244"/>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13.审核组成员(签字)：                                  日期：</w:t>
      </w:r>
    </w:p>
    <w:p>
      <w:pPr>
        <w:widowControl/>
        <w:spacing w:line="276" w:lineRule="auto"/>
        <w:ind w:right="945"/>
        <w:rPr>
          <w:rFonts w:ascii="宋体" w:hAnsi="宋体" w:eastAsia="宋体" w:cs="宋体"/>
          <w:b/>
          <w:bCs/>
          <w:kern w:val="0"/>
          <w:sz w:val="24"/>
          <w:szCs w:val="24"/>
        </w:rPr>
      </w:pPr>
    </w:p>
    <w:p>
      <w:pPr>
        <w:widowControl/>
        <w:spacing w:line="276" w:lineRule="auto"/>
        <w:ind w:right="945"/>
        <w:rPr>
          <w:rFonts w:ascii="宋体" w:hAnsi="宋体" w:eastAsia="宋体" w:cs="宋体"/>
          <w:kern w:val="0"/>
          <w:sz w:val="24"/>
          <w:szCs w:val="24"/>
        </w:rPr>
      </w:pPr>
      <w:r>
        <w:rPr>
          <w:rFonts w:hint="eastAsia" w:ascii="宋体" w:hAnsi="宋体" w:eastAsia="宋体" w:cs="宋体"/>
          <w:b/>
          <w:bCs/>
          <w:kern w:val="0"/>
          <w:sz w:val="24"/>
          <w:szCs w:val="24"/>
        </w:rPr>
        <w:t>四、报告审查人意见</w:t>
      </w:r>
    </w:p>
    <w:p>
      <w:pPr>
        <w:widowControl/>
        <w:spacing w:line="276" w:lineRule="auto"/>
        <w:jc w:val="left"/>
        <w:rPr>
          <w:rFonts w:ascii="宋体" w:hAnsi="宋体" w:eastAsia="宋体" w:cs="宋体"/>
          <w:kern w:val="0"/>
          <w:sz w:val="24"/>
          <w:szCs w:val="24"/>
        </w:rPr>
      </w:pPr>
    </w:p>
    <w:p>
      <w:pPr>
        <w:widowControl/>
        <w:spacing w:line="276" w:lineRule="auto"/>
        <w:jc w:val="left"/>
        <w:rPr>
          <w:rFonts w:ascii="宋体" w:hAnsi="宋体" w:eastAsia="宋体" w:cs="宋体"/>
          <w:kern w:val="0"/>
          <w:sz w:val="24"/>
          <w:szCs w:val="24"/>
        </w:rPr>
      </w:pPr>
      <w:r>
        <w:rPr>
          <w:rFonts w:hint="eastAsia" w:ascii="宋体" w:hAnsi="宋体" w:eastAsia="宋体" w:cs="宋体"/>
          <w:kern w:val="0"/>
          <w:sz w:val="24"/>
          <w:szCs w:val="24"/>
        </w:rPr>
        <w:t>审查人员（签字）：                                     日期：</w:t>
      </w:r>
    </w:p>
    <w:p>
      <w:pPr>
        <w:widowControl/>
        <w:spacing w:line="276" w:lineRule="auto"/>
        <w:ind w:right="1050"/>
        <w:rPr>
          <w:rFonts w:ascii="宋体" w:hAnsi="宋体" w:eastAsia="宋体" w:cs="宋体"/>
          <w:b/>
          <w:bCs/>
          <w:kern w:val="0"/>
          <w:sz w:val="24"/>
          <w:szCs w:val="24"/>
        </w:rPr>
      </w:pPr>
    </w:p>
    <w:p>
      <w:pPr>
        <w:widowControl/>
        <w:spacing w:line="276" w:lineRule="auto"/>
        <w:ind w:right="1050"/>
        <w:rPr>
          <w:rFonts w:ascii="宋体" w:hAnsi="宋体" w:eastAsia="宋体" w:cs="宋体"/>
          <w:kern w:val="0"/>
          <w:sz w:val="24"/>
          <w:szCs w:val="24"/>
        </w:rPr>
      </w:pPr>
      <w:r>
        <w:rPr>
          <w:rFonts w:hint="eastAsia" w:ascii="宋体" w:hAnsi="宋体" w:eastAsia="宋体" w:cs="宋体"/>
          <w:b/>
          <w:bCs/>
          <w:kern w:val="0"/>
          <w:sz w:val="24"/>
          <w:szCs w:val="24"/>
        </w:rPr>
        <w:t xml:space="preserve">五、 </w:t>
      </w:r>
      <w:r>
        <w:rPr>
          <w:rFonts w:ascii="宋体" w:hAnsi="宋体" w:eastAsia="宋体" w:cs="宋体"/>
          <w:b/>
          <w:bCs/>
          <w:kern w:val="0"/>
          <w:sz w:val="24"/>
          <w:szCs w:val="24"/>
        </w:rPr>
        <w:t>认证</w:t>
      </w:r>
      <w:r>
        <w:rPr>
          <w:rFonts w:hint="eastAsia" w:ascii="宋体" w:hAnsi="宋体" w:eastAsia="宋体" w:cs="宋体"/>
          <w:b/>
          <w:bCs/>
          <w:kern w:val="0"/>
          <w:sz w:val="24"/>
          <w:szCs w:val="24"/>
        </w:rPr>
        <w:t>机构</w:t>
      </w:r>
      <w:r>
        <w:rPr>
          <w:rFonts w:ascii="宋体" w:hAnsi="宋体" w:eastAsia="宋体" w:cs="宋体"/>
          <w:b/>
          <w:kern w:val="0"/>
          <w:sz w:val="24"/>
          <w:szCs w:val="24"/>
        </w:rPr>
        <w:t>负责人</w:t>
      </w:r>
      <w:r>
        <w:rPr>
          <w:rFonts w:hint="eastAsia" w:ascii="宋体" w:hAnsi="宋体" w:eastAsia="宋体" w:cs="宋体"/>
          <w:kern w:val="0"/>
          <w:sz w:val="24"/>
          <w:szCs w:val="24"/>
        </w:rPr>
        <w:t>(</w:t>
      </w:r>
      <w:r>
        <w:rPr>
          <w:rFonts w:ascii="宋体" w:hAnsi="宋体" w:eastAsia="宋体" w:cs="宋体"/>
          <w:kern w:val="0"/>
          <w:sz w:val="24"/>
          <w:szCs w:val="24"/>
        </w:rPr>
        <w:t>签字</w:t>
      </w:r>
      <w:r>
        <w:rPr>
          <w:rFonts w:hint="eastAsia" w:ascii="宋体" w:hAnsi="宋体" w:eastAsia="宋体" w:cs="宋体"/>
          <w:kern w:val="0"/>
          <w:sz w:val="24"/>
          <w:szCs w:val="24"/>
        </w:rPr>
        <w:t>)</w:t>
      </w:r>
      <w:r>
        <w:rPr>
          <w:rFonts w:ascii="宋体" w:hAnsi="宋体" w:eastAsia="宋体" w:cs="宋体"/>
          <w:kern w:val="0"/>
          <w:sz w:val="24"/>
          <w:szCs w:val="24"/>
        </w:rPr>
        <w:t>：</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日期：</w:t>
      </w:r>
      <w:r>
        <w:rPr>
          <w:rFonts w:hint="eastAsia" w:ascii="宋体" w:hAnsi="宋体" w:eastAsia="宋体" w:cs="宋体"/>
          <w:kern w:val="0"/>
          <w:sz w:val="24"/>
          <w:szCs w:val="24"/>
        </w:rPr>
        <w:t xml:space="preserve">                 </w:t>
      </w:r>
    </w:p>
    <w:sectPr>
      <w:headerReference r:id="rId3" w:type="default"/>
      <w:footerReference r:id="rId4"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4448860"/>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bookmarkStart w:id="0"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pPr>
      <w:pStyle w:val="4"/>
      <w:pBdr>
        <w:bottom w:val="none" w:color="auto" w:sz="0" w:space="0"/>
      </w:pBdr>
      <w:spacing w:line="320" w:lineRule="exact"/>
      <w:jc w:val="left"/>
      <w:rPr>
        <w:rStyle w:val="9"/>
        <w:rFonts w:hint="default" w:ascii="Times New Roman" w:hAnsi="Times New Roman" w:cs="Times New Roman"/>
        <w:szCs w:val="21"/>
      </w:rPr>
    </w:pPr>
    <w:r>
      <w:rPr>
        <w:sz w:val="21"/>
        <w:szCs w:val="21"/>
      </w:rPr>
      <w:pict>
        <v:shape id="文本框 1" o:spid="_x0000_s4097" o:spt="202" type="#_x0000_t202" style="position:absolute;left:0pt;margin-left:288.95pt;margin-top:15.6pt;height:20.6pt;width:173.9pt;z-index:251659264;mso-width-relative:page;mso-height-relative:page;" stroked="f" coordsize="21600,21600" o:gfxdata="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0Y&#10;L+jYAAAACQEAAA8AAAAAAAAAAQAgAAAAIgAAAGRycy9kb3ducmV2LnhtbFBLAQIUABQAAAAIAIdO&#10;4kAP11JVsQEAAEADAAAOAAAAAAAAAAEAIAAAACcBAABkcnMvZTJvRG9jLnhtbFBLBQYAAAAABgAG&#10;AFkBAABKBQAAAAA=&#1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9"/>
        <w:rFonts w:hint="default"/>
        <w:szCs w:val="21"/>
      </w:rPr>
      <w:t xml:space="preserve">   </w:t>
    </w:r>
    <w:r>
      <w:rPr>
        <w:rStyle w:val="9"/>
        <w:rFonts w:hint="default" w:ascii="Times New Roman" w:hAnsi="Times New Roman" w:cs="Times New Roman"/>
        <w:szCs w:val="21"/>
      </w:rPr>
      <w:t>北京国标联合认证有限公司</w:t>
    </w:r>
  </w:p>
  <w:p>
    <w:pPr>
      <w:pStyle w:val="4"/>
      <w:pBdr>
        <w:bottom w:val="none" w:color="auto" w:sz="0" w:space="1"/>
      </w:pBdr>
      <w:spacing w:line="320" w:lineRule="exact"/>
      <w:jc w:val="left"/>
    </w:pPr>
    <w:r>
      <w:rPr>
        <w:rStyle w:val="9"/>
        <w:rFonts w:hint="default" w:ascii="Times New Roman" w:hAnsi="Times New Roman" w:cs="Times New Roman"/>
        <w:szCs w:val="21"/>
      </w:rPr>
      <w:t xml:space="preserve">   </w:t>
    </w:r>
    <w:r>
      <w:rPr>
        <w:rStyle w:val="9"/>
        <w:rFonts w:hint="default" w:ascii="Times New Roman" w:hAnsi="Times New Roman" w:cs="Times New Roman"/>
        <w:w w:val="80"/>
        <w:szCs w:val="21"/>
      </w:rPr>
      <w:t xml:space="preserve">Beijing International Standard united Certification Co.,Ltd. </w:t>
    </w:r>
    <w:r>
      <w:rPr>
        <w:rStyle w:val="9"/>
        <w:rFonts w:hint="default"/>
        <w:w w:val="90"/>
        <w:sz w:val="18"/>
      </w:rPr>
      <w:t xml:space="preserve">                     </w:t>
    </w:r>
  </w:p>
  <w:p>
    <w:pPr>
      <w:rPr>
        <w:sz w:val="18"/>
        <w:szCs w:val="18"/>
      </w:rPr>
    </w:pPr>
    <w:r>
      <w:rPr>
        <w:sz w:val="18"/>
      </w:rPr>
      <w:pict>
        <v:line id="直线 3" o:spid="_x0000_s4098" o:spt="20" style="position:absolute;left:0pt;margin-left:-23.7pt;margin-top:2.35pt;height:0.7pt;width:460.6pt;z-index:251660288;mso-width-relative:page;mso-height-relative:page;" coordsize="21600,21600" o:gfxdata="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&#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eOcJ1AAAAAUBAAAPAAAAAAAAAAEAIAAAACIAAABk&#10;cnMvZG93bnJldi54bWxQSwECFAAUAAAACACHTuJAGFGqw9EBAACQAwAADgAAAAAAAAABACAAAAAj&#10;AQAAZHJzL2Uyb0RvYy54bWxQSwUGAAAAAAYABgBZAQAAZgUAAAAA&#10;">
          <v:path arrowok="t"/>
          <v:fill focussize="0,0"/>
          <v:stroke/>
          <v:imagedata o:title=""/>
          <o:lock v:ext="edit"/>
        </v:line>
      </w:pict>
    </w:r>
    <w:bookmarkEnd w:id="0"/>
  </w:p>
  <w:p>
    <w:pPr>
      <w:tabs>
        <w:tab w:val="left" w:pos="1560"/>
      </w:tabs>
      <w:rPr>
        <w:rFonts w:hint="eastAsia" w:eastAsiaTheme="minorEastAsia"/>
        <w:lang w:val="en-US" w:eastAsia="zh-CN"/>
      </w:rPr>
    </w:pPr>
    <w:r>
      <w:rPr>
        <w:rFonts w:hint="eastAsia"/>
        <w:lang w:val="en-US" w:eastAsia="zh-CN"/>
      </w:rPr>
      <w:t xml:space="preserve"> </w:t>
    </w:r>
    <w:r>
      <w:rPr>
        <w:rFonts w:hint="eastAsia"/>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A18D"/>
    <w:multiLevelType w:val="singleLevel"/>
    <w:tmpl w:val="8BE2A18D"/>
    <w:lvl w:ilvl="0" w:tentative="0">
      <w:start w:val="11"/>
      <w:numFmt w:val="decimal"/>
      <w:suff w:val="space"/>
      <w:lvlText w:val="%1."/>
      <w:lvlJc w:val="left"/>
    </w:lvl>
  </w:abstractNum>
  <w:abstractNum w:abstractNumId="1">
    <w:nsid w:val="583E7A58"/>
    <w:multiLevelType w:val="singleLevel"/>
    <w:tmpl w:val="583E7A58"/>
    <w:lvl w:ilvl="0" w:tentative="0">
      <w:start w:val="8"/>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B2605"/>
    <w:rsid w:val="00032845"/>
    <w:rsid w:val="000D737A"/>
    <w:rsid w:val="0012312B"/>
    <w:rsid w:val="001571C2"/>
    <w:rsid w:val="002569B6"/>
    <w:rsid w:val="002701A1"/>
    <w:rsid w:val="0030082D"/>
    <w:rsid w:val="003C25DA"/>
    <w:rsid w:val="003F21F1"/>
    <w:rsid w:val="004965DE"/>
    <w:rsid w:val="004A5891"/>
    <w:rsid w:val="004D7195"/>
    <w:rsid w:val="00504944"/>
    <w:rsid w:val="00524180"/>
    <w:rsid w:val="005912DB"/>
    <w:rsid w:val="00622FCA"/>
    <w:rsid w:val="00690C29"/>
    <w:rsid w:val="00694890"/>
    <w:rsid w:val="006B2605"/>
    <w:rsid w:val="00742DD4"/>
    <w:rsid w:val="007609C2"/>
    <w:rsid w:val="00795D58"/>
    <w:rsid w:val="007B16DA"/>
    <w:rsid w:val="007B7405"/>
    <w:rsid w:val="00822A88"/>
    <w:rsid w:val="00842859"/>
    <w:rsid w:val="00847DEA"/>
    <w:rsid w:val="00863661"/>
    <w:rsid w:val="00880CD0"/>
    <w:rsid w:val="008A03D9"/>
    <w:rsid w:val="0094582B"/>
    <w:rsid w:val="009954C3"/>
    <w:rsid w:val="009C6468"/>
    <w:rsid w:val="009D387A"/>
    <w:rsid w:val="009D4C3A"/>
    <w:rsid w:val="009E059D"/>
    <w:rsid w:val="009E2F11"/>
    <w:rsid w:val="00A03794"/>
    <w:rsid w:val="00A520FA"/>
    <w:rsid w:val="00A71D09"/>
    <w:rsid w:val="00AA57FD"/>
    <w:rsid w:val="00AF6EBD"/>
    <w:rsid w:val="00B063C4"/>
    <w:rsid w:val="00B65388"/>
    <w:rsid w:val="00B66C8C"/>
    <w:rsid w:val="00C536C5"/>
    <w:rsid w:val="00CB3AA9"/>
    <w:rsid w:val="00CC18AF"/>
    <w:rsid w:val="00D85083"/>
    <w:rsid w:val="00DC4708"/>
    <w:rsid w:val="00DC4CAB"/>
    <w:rsid w:val="00E1650B"/>
    <w:rsid w:val="00E57204"/>
    <w:rsid w:val="00EA1DBB"/>
    <w:rsid w:val="00EC5C29"/>
    <w:rsid w:val="00F337FF"/>
    <w:rsid w:val="00F91504"/>
    <w:rsid w:val="00F93FAD"/>
    <w:rsid w:val="00FA2B0D"/>
    <w:rsid w:val="00FB5DA3"/>
    <w:rsid w:val="00FC32BD"/>
    <w:rsid w:val="00FD399A"/>
    <w:rsid w:val="00FD533E"/>
    <w:rsid w:val="00FF3F0A"/>
    <w:rsid w:val="016558DF"/>
    <w:rsid w:val="017D4288"/>
    <w:rsid w:val="02713DE6"/>
    <w:rsid w:val="033B5CDB"/>
    <w:rsid w:val="03CD2102"/>
    <w:rsid w:val="058C4E3D"/>
    <w:rsid w:val="05FB5154"/>
    <w:rsid w:val="06EF2CE0"/>
    <w:rsid w:val="07017B57"/>
    <w:rsid w:val="073B6BE4"/>
    <w:rsid w:val="08882D16"/>
    <w:rsid w:val="092D4604"/>
    <w:rsid w:val="0A094552"/>
    <w:rsid w:val="0A323532"/>
    <w:rsid w:val="0BE47C18"/>
    <w:rsid w:val="0C084F08"/>
    <w:rsid w:val="0D143393"/>
    <w:rsid w:val="0D9A49B0"/>
    <w:rsid w:val="0F3907A4"/>
    <w:rsid w:val="10FB658D"/>
    <w:rsid w:val="127E0B96"/>
    <w:rsid w:val="12AD6086"/>
    <w:rsid w:val="12B64FA9"/>
    <w:rsid w:val="13F21175"/>
    <w:rsid w:val="15DB1B66"/>
    <w:rsid w:val="188C1F0E"/>
    <w:rsid w:val="18CB6F16"/>
    <w:rsid w:val="1B0B1C34"/>
    <w:rsid w:val="1BA62BB8"/>
    <w:rsid w:val="1BB92CC5"/>
    <w:rsid w:val="1C661620"/>
    <w:rsid w:val="1C931652"/>
    <w:rsid w:val="1CC779FA"/>
    <w:rsid w:val="1CF61667"/>
    <w:rsid w:val="1D5E1F47"/>
    <w:rsid w:val="1DD771D8"/>
    <w:rsid w:val="1E77629F"/>
    <w:rsid w:val="204F383C"/>
    <w:rsid w:val="217C449F"/>
    <w:rsid w:val="21F6217D"/>
    <w:rsid w:val="230C34C6"/>
    <w:rsid w:val="23B575EC"/>
    <w:rsid w:val="241D2BA6"/>
    <w:rsid w:val="257B3674"/>
    <w:rsid w:val="27554591"/>
    <w:rsid w:val="27F77CFF"/>
    <w:rsid w:val="28A80D34"/>
    <w:rsid w:val="2A245E01"/>
    <w:rsid w:val="2A285A71"/>
    <w:rsid w:val="2B2C1DD8"/>
    <w:rsid w:val="2B780E22"/>
    <w:rsid w:val="2E3D6899"/>
    <w:rsid w:val="2E704746"/>
    <w:rsid w:val="2ED16404"/>
    <w:rsid w:val="31B02266"/>
    <w:rsid w:val="31C55888"/>
    <w:rsid w:val="344A1681"/>
    <w:rsid w:val="34D67B3A"/>
    <w:rsid w:val="34FD46F6"/>
    <w:rsid w:val="3618637D"/>
    <w:rsid w:val="369C5471"/>
    <w:rsid w:val="3B8804CA"/>
    <w:rsid w:val="3C813231"/>
    <w:rsid w:val="3E013270"/>
    <w:rsid w:val="3E17485C"/>
    <w:rsid w:val="3E4450E8"/>
    <w:rsid w:val="3EFB0E30"/>
    <w:rsid w:val="3F5858D5"/>
    <w:rsid w:val="414525C3"/>
    <w:rsid w:val="42C12604"/>
    <w:rsid w:val="432C23D5"/>
    <w:rsid w:val="434C2946"/>
    <w:rsid w:val="43C5095B"/>
    <w:rsid w:val="43ED3FE7"/>
    <w:rsid w:val="44D82146"/>
    <w:rsid w:val="45067D82"/>
    <w:rsid w:val="45126248"/>
    <w:rsid w:val="470B4895"/>
    <w:rsid w:val="483C5B06"/>
    <w:rsid w:val="48D559E5"/>
    <w:rsid w:val="48FA3883"/>
    <w:rsid w:val="497F7F15"/>
    <w:rsid w:val="49C14E74"/>
    <w:rsid w:val="4A843F3B"/>
    <w:rsid w:val="4AD5310A"/>
    <w:rsid w:val="4B2F0DA1"/>
    <w:rsid w:val="4C4E5087"/>
    <w:rsid w:val="4CA34699"/>
    <w:rsid w:val="4D727034"/>
    <w:rsid w:val="4E893382"/>
    <w:rsid w:val="4F0661BE"/>
    <w:rsid w:val="4FD72FBB"/>
    <w:rsid w:val="51C16409"/>
    <w:rsid w:val="51C71D47"/>
    <w:rsid w:val="51C83696"/>
    <w:rsid w:val="547533AA"/>
    <w:rsid w:val="55EC74A9"/>
    <w:rsid w:val="575F2B8C"/>
    <w:rsid w:val="57E84A6B"/>
    <w:rsid w:val="57FE23F6"/>
    <w:rsid w:val="58082CF0"/>
    <w:rsid w:val="59870B47"/>
    <w:rsid w:val="5A207FA5"/>
    <w:rsid w:val="5B634EB0"/>
    <w:rsid w:val="5B680A13"/>
    <w:rsid w:val="5BE5719D"/>
    <w:rsid w:val="5D510080"/>
    <w:rsid w:val="5DC27EC8"/>
    <w:rsid w:val="5E8E7B2C"/>
    <w:rsid w:val="5F33603C"/>
    <w:rsid w:val="5F612678"/>
    <w:rsid w:val="5F796BE8"/>
    <w:rsid w:val="604C6B72"/>
    <w:rsid w:val="607471C2"/>
    <w:rsid w:val="60864C54"/>
    <w:rsid w:val="60ED441B"/>
    <w:rsid w:val="61827333"/>
    <w:rsid w:val="61A667FC"/>
    <w:rsid w:val="64574705"/>
    <w:rsid w:val="645827A6"/>
    <w:rsid w:val="65233E8C"/>
    <w:rsid w:val="65AA185F"/>
    <w:rsid w:val="670B6B3E"/>
    <w:rsid w:val="67437304"/>
    <w:rsid w:val="678E4D45"/>
    <w:rsid w:val="679A0C2C"/>
    <w:rsid w:val="67D1417B"/>
    <w:rsid w:val="68A44EFE"/>
    <w:rsid w:val="69B44554"/>
    <w:rsid w:val="6A867F5A"/>
    <w:rsid w:val="6B1E7BD2"/>
    <w:rsid w:val="6B40257B"/>
    <w:rsid w:val="6BC866BE"/>
    <w:rsid w:val="6C630141"/>
    <w:rsid w:val="6C816870"/>
    <w:rsid w:val="6D7709DC"/>
    <w:rsid w:val="6E8C3ECA"/>
    <w:rsid w:val="6F227E92"/>
    <w:rsid w:val="6F423AB6"/>
    <w:rsid w:val="70554457"/>
    <w:rsid w:val="707F0D4F"/>
    <w:rsid w:val="70F51F23"/>
    <w:rsid w:val="718C7A67"/>
    <w:rsid w:val="72DB1872"/>
    <w:rsid w:val="747C1935"/>
    <w:rsid w:val="74832446"/>
    <w:rsid w:val="76F222C0"/>
    <w:rsid w:val="79235E52"/>
    <w:rsid w:val="79E1462E"/>
    <w:rsid w:val="7ADB12A4"/>
    <w:rsid w:val="7AFB53C7"/>
    <w:rsid w:val="7BBB0464"/>
    <w:rsid w:val="7C1D1654"/>
    <w:rsid w:val="7D133865"/>
    <w:rsid w:val="7FB97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Char Char1"/>
    <w:qFormat/>
    <w:locked/>
    <w:uiPriority w:val="0"/>
    <w:rPr>
      <w:rFonts w:hint="eastAsia" w:ascii="宋体" w:hAnsi="Courier New" w:eastAsia="宋体"/>
      <w:kern w:val="2"/>
      <w:sz w:val="21"/>
      <w:lang w:val="en-US" w:eastAsia="zh-CN" w:bidi="ar-SA"/>
    </w:rPr>
  </w:style>
  <w:style w:type="character" w:customStyle="1" w:styleId="10">
    <w:name w:val="Font Style99"/>
    <w:qFormat/>
    <w:uiPriority w:val="0"/>
    <w:rPr>
      <w:rFonts w:ascii="黑体" w:eastAsia="黑体" w:cs="黑体"/>
      <w:sz w:val="20"/>
      <w:szCs w:val="20"/>
    </w:rPr>
  </w:style>
  <w:style w:type="paragraph" w:customStyle="1" w:styleId="11">
    <w:name w:val="列出段落2"/>
    <w:basedOn w:val="1"/>
    <w:qFormat/>
    <w:uiPriority w:val="99"/>
    <w:pPr>
      <w:ind w:firstLine="420" w:firstLineChars="200"/>
    </w:pPr>
  </w:style>
  <w:style w:type="character" w:customStyle="1" w:styleId="12">
    <w:name w:val="Font Style137"/>
    <w:qFormat/>
    <w:uiPriority w:val="0"/>
    <w:rPr>
      <w:rFonts w:ascii="黑体" w:eastAsia="黑体" w:cs="黑体"/>
      <w:sz w:val="20"/>
      <w:szCs w:val="20"/>
    </w:rPr>
  </w:style>
  <w:style w:type="character" w:customStyle="1" w:styleId="13">
    <w:name w:val="批注框文本 Char"/>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96300-6A7D-4829-A9F5-C4A11CBE8801}">
  <ds:schemaRefs/>
</ds:datastoreItem>
</file>

<file path=docProps/app.xml><?xml version="1.0" encoding="utf-8"?>
<Properties xmlns="http://schemas.openxmlformats.org/officeDocument/2006/extended-properties" xmlns:vt="http://schemas.openxmlformats.org/officeDocument/2006/docPropsVTypes">
  <Template>Normal</Template>
  <Pages>4</Pages>
  <Words>399</Words>
  <Characters>2275</Characters>
  <Lines>18</Lines>
  <Paragraphs>5</Paragraphs>
  <TotalTime>18</TotalTime>
  <ScaleCrop>false</ScaleCrop>
  <LinksUpToDate>false</LinksUpToDate>
  <CharactersWithSpaces>2669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win8</cp:lastModifiedBy>
  <cp:lastPrinted>2018-09-07T08:56:00Z</cp:lastPrinted>
  <dcterms:modified xsi:type="dcterms:W3CDTF">2020-06-03T08:53:11Z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